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98" w:type="dxa"/>
        <w:jc w:val="center"/>
        <w:tblLook w:val="04A0" w:firstRow="1" w:lastRow="0" w:firstColumn="1" w:lastColumn="0" w:noHBand="0" w:noVBand="1"/>
      </w:tblPr>
      <w:tblGrid>
        <w:gridCol w:w="2012"/>
        <w:gridCol w:w="2715"/>
        <w:gridCol w:w="2923"/>
        <w:gridCol w:w="2348"/>
      </w:tblGrid>
      <w:tr w:rsidR="00837A9D" w:rsidRPr="0060706E" w14:paraId="12D5DF93" w14:textId="77777777" w:rsidTr="005C6920">
        <w:trPr>
          <w:trHeight w:val="283"/>
          <w:jc w:val="center"/>
        </w:trPr>
        <w:tc>
          <w:tcPr>
            <w:tcW w:w="20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58B8EF2" w14:textId="2B904926" w:rsidR="00837A9D" w:rsidRPr="00677765" w:rsidRDefault="00837A9D" w:rsidP="00496D8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Comp</w:t>
            </w:r>
            <w:r w:rsidR="00E50C2C">
              <w:rPr>
                <w:b/>
                <w:color w:val="3B8493"/>
                <w:sz w:val="20"/>
                <w:szCs w:val="20"/>
                <w:lang w:val="es-US"/>
              </w:rPr>
              <w:t>o</w:t>
            </w: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nente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5F77F27" w14:textId="1F51AFD3" w:rsidR="00837A9D" w:rsidRPr="00C25495" w:rsidRDefault="00840C10" w:rsidP="0090524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Acceso a Mercados de Productos (C1)</w:t>
            </w:r>
          </w:p>
        </w:tc>
      </w:tr>
      <w:tr w:rsidR="00837A9D" w:rsidRPr="0060706E" w14:paraId="768A6DF9" w14:textId="77777777" w:rsidTr="004C36AE">
        <w:trPr>
          <w:trHeight w:val="26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9B31A" w14:textId="069A9A99" w:rsidR="00837A9D" w:rsidRPr="00677765" w:rsidRDefault="00C57B96" w:rsidP="00905246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>
              <w:rPr>
                <w:b/>
                <w:color w:val="3B8493"/>
                <w:sz w:val="20"/>
                <w:szCs w:val="20"/>
                <w:lang w:val="es-US"/>
              </w:rPr>
              <w:t xml:space="preserve"> </w:t>
            </w:r>
            <w:r w:rsidR="00496D86" w:rsidRPr="00677765">
              <w:rPr>
                <w:b/>
                <w:color w:val="3B8493"/>
                <w:sz w:val="20"/>
                <w:szCs w:val="20"/>
                <w:lang w:val="es-US"/>
              </w:rPr>
              <w:t>1</w:t>
            </w:r>
            <w:r w:rsidR="00837A9D" w:rsidRPr="00677765">
              <w:rPr>
                <w:b/>
                <w:color w:val="3B8493"/>
                <w:sz w:val="20"/>
                <w:szCs w:val="20"/>
                <w:lang w:val="es-US"/>
              </w:rPr>
              <w:t>. Nombre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27967A8" w14:textId="3B2B8E32" w:rsidR="00837A9D" w:rsidRPr="00402359" w:rsidRDefault="00057B9E" w:rsidP="00905246">
            <w:pPr>
              <w:rPr>
                <w:rFonts w:asciiTheme="majorHAnsi" w:hAnsiTheme="majorHAnsi" w:cstheme="majorHAnsi"/>
                <w:b/>
                <w:sz w:val="20"/>
                <w:szCs w:val="20"/>
                <w:lang w:val="es-419"/>
              </w:rPr>
            </w:pPr>
            <w:r w:rsidRPr="00057B9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Promoción del consumo </w:t>
            </w:r>
            <w:r w:rsidR="00840C10">
              <w:rPr>
                <w:rFonts w:asciiTheme="majorHAnsi" w:hAnsiTheme="majorHAnsi" w:cstheme="majorHAnsi"/>
                <w:b/>
                <w:sz w:val="20"/>
                <w:szCs w:val="20"/>
              </w:rPr>
              <w:t>consciente de alimentos saludables y sostenibles de nuestra agrobiodiversidad</w:t>
            </w:r>
          </w:p>
        </w:tc>
      </w:tr>
      <w:tr w:rsidR="00840C10" w:rsidRPr="0060706E" w14:paraId="732A2226" w14:textId="77777777" w:rsidTr="00304A52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A9D069" w14:textId="6DCE83C4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2. Ubicación/región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8AD15CE" w14:textId="15ABD52E" w:rsidR="00840C10" w:rsidRPr="00C25495" w:rsidRDefault="00840C10" w:rsidP="00840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Paz y Santa Cruz, </w:t>
            </w:r>
            <w:r w:rsidR="00DF456C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acciones </w:t>
            </w:r>
            <w:r w:rsidR="00DF456C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alcance nacional</w:t>
            </w:r>
          </w:p>
        </w:tc>
      </w:tr>
      <w:tr w:rsidR="00840C10" w:rsidRPr="0060706E" w14:paraId="25C5DD9A" w14:textId="77777777" w:rsidTr="00DF456C">
        <w:trPr>
          <w:trHeight w:val="334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26D135A" w14:textId="0B3350D6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3. Complejo/rubros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D8C2DCD" w14:textId="0C47C944" w:rsidR="00840C10" w:rsidRPr="00C25495" w:rsidRDefault="00840C10" w:rsidP="00840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Promoción del consumo, sensibilización sobre consumo consciente</w:t>
            </w:r>
            <w:r w:rsidR="00DF456C"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difusión de la alimentación sostenible</w:t>
            </w:r>
          </w:p>
        </w:tc>
      </w:tr>
      <w:tr w:rsidR="00840C10" w:rsidRPr="0060706E" w14:paraId="79A21F06" w14:textId="77777777" w:rsidTr="005C6920">
        <w:trPr>
          <w:trHeight w:val="239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B144AD" w14:textId="7CFEF65E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4. Grupo meta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7A46ACC" w14:textId="49DDDA5D" w:rsidR="00840C10" w:rsidRPr="00C25495" w:rsidRDefault="00840C10" w:rsidP="00840C1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2549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F1244">
              <w:rPr>
                <w:rFonts w:asciiTheme="majorHAnsi" w:hAnsiTheme="majorHAnsi" w:cstheme="majorHAnsi"/>
                <w:sz w:val="20"/>
                <w:szCs w:val="20"/>
              </w:rPr>
              <w:t>Jóvenes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consumidoras</w:t>
            </w:r>
            <w:r w:rsidR="00B23B3C">
              <w:rPr>
                <w:rFonts w:asciiTheme="majorHAnsi" w:hAnsiTheme="majorHAnsi" w:cstheme="majorHAnsi"/>
                <w:sz w:val="20"/>
                <w:szCs w:val="20"/>
              </w:rPr>
              <w:t>/es, principalmente de las áreas urbana y periurbana</w:t>
            </w:r>
            <w:r w:rsidR="000677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40C10" w:rsidRPr="0060706E" w14:paraId="3D527051" w14:textId="77777777" w:rsidTr="004C36AE">
        <w:trPr>
          <w:trHeight w:val="110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8D2064" w14:textId="5FDAB6DB" w:rsidR="00840C10" w:rsidRPr="00677765" w:rsidRDefault="00840C10" w:rsidP="00840C10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 xml:space="preserve">5. Actores del sistema/Grupo de intervención 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9C6A36" w14:textId="77777777" w:rsidR="00840C10" w:rsidRDefault="00840C10" w:rsidP="00840C1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Personas estudiantes de gastronomía, nutrición y ramas afines a la temática de alimentación. </w:t>
            </w:r>
          </w:p>
          <w:p w14:paraId="09A35CE8" w14:textId="77777777" w:rsidR="00840C10" w:rsidRDefault="00840C10" w:rsidP="00840C1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Escuelas gastronómicas</w:t>
            </w:r>
          </w:p>
          <w:p w14:paraId="5B2FF39A" w14:textId="114503C5" w:rsidR="00840C10" w:rsidRDefault="00840C10" w:rsidP="00840C1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Organizaciones de la Sociedad Civil, Colectivos de jóvenes, </w:t>
            </w:r>
            <w:r w:rsidR="00DF456C">
              <w:rPr>
                <w:rFonts w:asciiTheme="majorHAnsi" w:hAnsiTheme="majorHAnsi" w:cstheme="majorHAnsi"/>
                <w:sz w:val="20"/>
                <w:szCs w:val="20"/>
              </w:rPr>
              <w:t>activistas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DF45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influencers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” </w:t>
            </w:r>
            <w:r w:rsidR="00DF456C">
              <w:rPr>
                <w:rFonts w:asciiTheme="majorHAnsi" w:hAnsiTheme="majorHAnsi" w:cstheme="majorHAnsi"/>
                <w:sz w:val="20"/>
                <w:szCs w:val="20"/>
              </w:rPr>
              <w:t xml:space="preserve">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temáticas medioambientales y de alimentación</w:t>
            </w:r>
          </w:p>
          <w:p w14:paraId="59A14FCB" w14:textId="77777777" w:rsidR="00840C10" w:rsidRDefault="00840C10" w:rsidP="00840C1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Emprendimientos que promueven la alimentación sostenible</w:t>
            </w:r>
          </w:p>
          <w:p w14:paraId="1B0581D4" w14:textId="1C7F1609" w:rsidR="00840C10" w:rsidRPr="00C25495" w:rsidRDefault="00840C10" w:rsidP="00840C10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Espacios de venta y promoción de productos agroecológicos</w:t>
            </w:r>
          </w:p>
        </w:tc>
      </w:tr>
      <w:tr w:rsidR="00840C10" w:rsidRPr="0060706E" w14:paraId="6FD149CA" w14:textId="77777777" w:rsidTr="005C6920">
        <w:trPr>
          <w:trHeight w:val="151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ABA626" w14:textId="4A429C29" w:rsidR="00840C10" w:rsidRPr="00677765" w:rsidRDefault="00840C10" w:rsidP="00840C10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t>6. Problemas/Cuellos de botella</w:t>
            </w:r>
          </w:p>
          <w:p w14:paraId="3A11C7A9" w14:textId="77777777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66FCB3C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Escuelas gastronómicas y estudiantes de carreras afines a la temática de alimentación tienen poca o nada de motivación para seguir su profesión promoviendo la alimentación saludable y sostenible. </w:t>
            </w:r>
          </w:p>
          <w:p w14:paraId="09D46E41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Insuficiente difusión de los beneficios de una alimentación saludable y sostenible.</w:t>
            </w:r>
          </w:p>
          <w:p w14:paraId="35966298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Insuficiente conocimiento sobre los impactos negativos (ambientales, sociales, en la salud, etc.) que causa el consumo de ciertos productos alimenticios. </w:t>
            </w:r>
          </w:p>
          <w:p w14:paraId="655136C9" w14:textId="7125B26C" w:rsidR="00840C10" w:rsidRDefault="000D3B2D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Inexistente</w:t>
            </w:r>
            <w:r w:rsidR="00840C10">
              <w:rPr>
                <w:rFonts w:asciiTheme="majorHAnsi" w:hAnsiTheme="majorHAnsi" w:cstheme="majorHAnsi"/>
                <w:sz w:val="20"/>
                <w:szCs w:val="20"/>
              </w:rPr>
              <w:t xml:space="preserve"> información sobre la procedencia de los alimentos frescos. </w:t>
            </w:r>
          </w:p>
          <w:p w14:paraId="77AFA77D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46A3">
              <w:rPr>
                <w:rFonts w:asciiTheme="majorHAnsi" w:hAnsiTheme="majorHAnsi" w:cstheme="majorHAnsi"/>
                <w:sz w:val="20"/>
                <w:szCs w:val="20"/>
              </w:rPr>
              <w:t xml:space="preserve">La información difundida sobre alimentación saludable, sostenible y consumo </w:t>
            </w:r>
            <w:proofErr w:type="gramStart"/>
            <w:r w:rsidRPr="001246A3">
              <w:rPr>
                <w:rFonts w:asciiTheme="majorHAnsi" w:hAnsiTheme="majorHAnsi" w:cstheme="majorHAnsi"/>
                <w:sz w:val="20"/>
                <w:szCs w:val="20"/>
              </w:rPr>
              <w:t>responsable,</w:t>
            </w:r>
            <w:proofErr w:type="gramEnd"/>
            <w:r w:rsidRPr="001246A3">
              <w:rPr>
                <w:rFonts w:asciiTheme="majorHAnsi" w:hAnsiTheme="majorHAnsi" w:cstheme="majorHAnsi"/>
                <w:sz w:val="20"/>
                <w:szCs w:val="20"/>
              </w:rPr>
              <w:t xml:space="preserve"> puede resultar poco atractiva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1246A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y poco</w:t>
            </w:r>
            <w:r w:rsidRPr="001246A3">
              <w:rPr>
                <w:rFonts w:asciiTheme="majorHAnsi" w:hAnsiTheme="majorHAnsi" w:cstheme="majorHAnsi"/>
                <w:sz w:val="20"/>
                <w:szCs w:val="20"/>
              </w:rPr>
              <w:t xml:space="preserve"> impactante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para </w:t>
            </w:r>
            <w:r w:rsidRPr="001246A3">
              <w:rPr>
                <w:rFonts w:asciiTheme="majorHAnsi" w:hAnsiTheme="majorHAnsi" w:cstheme="majorHAnsi"/>
                <w:sz w:val="20"/>
                <w:szCs w:val="20"/>
              </w:rPr>
              <w:t xml:space="preserve">las y los consumidores, comparada con las potentes campañas publicitarias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productos alimenticios no </w:t>
            </w:r>
            <w:r w:rsidRPr="001246A3">
              <w:rPr>
                <w:rFonts w:asciiTheme="majorHAnsi" w:hAnsiTheme="majorHAnsi" w:cstheme="majorHAnsi"/>
                <w:sz w:val="20"/>
                <w:szCs w:val="20"/>
              </w:rPr>
              <w:t xml:space="preserve">saludables. </w:t>
            </w:r>
          </w:p>
          <w:p w14:paraId="28B96AE3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Excesiva oferta de alimentos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ultraprocesados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de “comida chatarra”. </w:t>
            </w:r>
          </w:p>
          <w:p w14:paraId="6C463F55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Mitos y creencias culturales que impulsan una alimentación no saludable.  </w:t>
            </w:r>
          </w:p>
          <w:p w14:paraId="5DF89AE9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Alimentos saludables y sostenibles inaccesibles e inasequibles para diferentes sectores de la población. </w:t>
            </w:r>
          </w:p>
          <w:p w14:paraId="255BC060" w14:textId="77777777" w:rsidR="00840C10" w:rsidRPr="008170E4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Pocos espacios de venta de productos agroecológicos y/o poco conocidos.</w:t>
            </w:r>
          </w:p>
          <w:p w14:paraId="4BEFF3A6" w14:textId="77777777" w:rsidR="00840C10" w:rsidRPr="00D9302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93020">
              <w:rPr>
                <w:rFonts w:asciiTheme="majorHAnsi" w:hAnsiTheme="majorHAnsi" w:cstheme="majorHAnsi"/>
                <w:sz w:val="20"/>
                <w:szCs w:val="20"/>
              </w:rPr>
              <w:t xml:space="preserve">Alimentos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saludables y sostenibles </w:t>
            </w:r>
            <w:r w:rsidRPr="00D93020">
              <w:rPr>
                <w:rFonts w:asciiTheme="majorHAnsi" w:hAnsiTheme="majorHAnsi" w:cstheme="majorHAnsi"/>
                <w:sz w:val="20"/>
                <w:szCs w:val="20"/>
              </w:rPr>
              <w:t xml:space="preserve">que ganan popularidad con campañas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 difusión, </w:t>
            </w:r>
            <w:r w:rsidRPr="00D93020">
              <w:rPr>
                <w:rFonts w:asciiTheme="majorHAnsi" w:hAnsiTheme="majorHAnsi" w:cstheme="majorHAnsi"/>
                <w:sz w:val="20"/>
                <w:szCs w:val="20"/>
              </w:rPr>
              <w:t>pero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93020">
              <w:rPr>
                <w:rFonts w:asciiTheme="majorHAnsi" w:hAnsiTheme="majorHAnsi" w:cstheme="majorHAnsi"/>
                <w:sz w:val="20"/>
                <w:szCs w:val="20"/>
              </w:rPr>
              <w:t>la oferta no es permanente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son difíciles de encontrar.</w:t>
            </w:r>
          </w:p>
          <w:p w14:paraId="3D25D7B7" w14:textId="5CD5E1CE" w:rsidR="00840C10" w:rsidRPr="000D3B2D" w:rsidRDefault="00840C10" w:rsidP="000D3B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D93020">
              <w:rPr>
                <w:rFonts w:asciiTheme="majorHAnsi" w:hAnsiTheme="majorHAnsi" w:cstheme="majorHAnsi"/>
                <w:sz w:val="20"/>
                <w:szCs w:val="20"/>
              </w:rPr>
              <w:t xml:space="preserve">l cambio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comportamiento respecto a los hábitos de consumo de alimentos más saludables y </w:t>
            </w:r>
            <w:r w:rsidR="000D3B2D">
              <w:rPr>
                <w:rFonts w:asciiTheme="majorHAnsi" w:hAnsiTheme="majorHAnsi" w:cstheme="majorHAnsi"/>
                <w:sz w:val="20"/>
                <w:szCs w:val="20"/>
              </w:rPr>
              <w:t>sostenibles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93020">
              <w:rPr>
                <w:rFonts w:asciiTheme="majorHAnsi" w:hAnsiTheme="majorHAnsi" w:cstheme="majorHAnsi"/>
                <w:sz w:val="20"/>
                <w:szCs w:val="20"/>
              </w:rPr>
              <w:t>depende de una serie de factores (sociales, políticos y económicos) que no siempre están alineados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40C10" w:rsidRPr="0060706E" w14:paraId="06F61B31" w14:textId="77777777" w:rsidTr="00AD0B7E">
        <w:trPr>
          <w:trHeight w:val="771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F547CB" w14:textId="24CE025B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7. Oportunidades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35FBC41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 porcentaje de la población está más interesada y abierta en consumir alimentos más saludables debido a la pandemia del COVID-19 </w:t>
            </w:r>
          </w:p>
          <w:p w14:paraId="2AC5DEF5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 xml:space="preserve">Existe cada vez más información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 evidencia </w:t>
            </w: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 xml:space="preserve">sobre los efectos negativos de la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>comida chatarra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”</w:t>
            </w: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proofErr w:type="spellStart"/>
            <w:r w:rsidRPr="00415140">
              <w:rPr>
                <w:rFonts w:asciiTheme="majorHAnsi" w:hAnsiTheme="majorHAnsi" w:cstheme="majorHAnsi"/>
                <w:sz w:val="20"/>
                <w:szCs w:val="20"/>
              </w:rPr>
              <w:t>ultrap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>ocesada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4073293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 xml:space="preserve">Las personas jóvenes están más abiertas a probar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alimentos o preparaciones </w:t>
            </w:r>
            <w:r w:rsidRPr="00415140">
              <w:rPr>
                <w:rFonts w:asciiTheme="majorHAnsi" w:hAnsiTheme="majorHAnsi" w:cstheme="majorHAnsi"/>
                <w:sz w:val="20"/>
                <w:szCs w:val="20"/>
              </w:rPr>
              <w:t>nuevas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7D023B0" w14:textId="03A89BBA" w:rsidR="00840C10" w:rsidRPr="00550C07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Más organizaciones en la ciudad capital de Bolivia están trabajando con la perspectiva de sistemas alimentarios y están tomando en cuenta la promoción del consumo responsable o consciente de alimentos, </w:t>
            </w:r>
            <w:r w:rsidR="00AD0B7E">
              <w:rPr>
                <w:rFonts w:asciiTheme="majorHAnsi" w:hAnsiTheme="majorHAnsi" w:cstheme="majorHAnsi"/>
                <w:sz w:val="20"/>
                <w:szCs w:val="20"/>
              </w:rPr>
              <w:t>lo que incide en un cambio de comportamiento progresivo.</w:t>
            </w:r>
          </w:p>
        </w:tc>
      </w:tr>
      <w:tr w:rsidR="00840C10" w:rsidRPr="0060706E" w14:paraId="184A2700" w14:textId="77777777" w:rsidTr="005C6920">
        <w:trPr>
          <w:trHeight w:val="1050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5391D" w14:textId="43356793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lastRenderedPageBreak/>
              <w:t>8. Soluciones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31C4385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Mayor difusión sobre alimentos saludables y sostenibles de la agrobiodiversidad.</w:t>
            </w:r>
          </w:p>
          <w:p w14:paraId="1E572B5F" w14:textId="77777777" w:rsidR="00840C10" w:rsidRPr="002C6D41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Personas jóvenes con más habilidades de consumo consciente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(saber qué alimentos saludables y sostenibles consumir, cómo prepararlos, cómo conservarlos, dónde conseguirlos, qué hacer con sus residuos, etc.).</w:t>
            </w:r>
          </w:p>
          <w:p w14:paraId="11279E47" w14:textId="77777777" w:rsidR="00840C10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Mayor consumo de alimentos saludables y sostenibles de la agrobiodiversidad. </w:t>
            </w:r>
          </w:p>
          <w:p w14:paraId="5B5CF5AF" w14:textId="37EFB733" w:rsidR="00840C10" w:rsidRPr="004F6559" w:rsidRDefault="00840C10" w:rsidP="00840C1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Más alianzas para la difusión del consumo consciente</w:t>
            </w:r>
          </w:p>
        </w:tc>
      </w:tr>
      <w:tr w:rsidR="00840C10" w:rsidRPr="0060706E" w14:paraId="5BE08046" w14:textId="77777777" w:rsidTr="004C36AE">
        <w:trPr>
          <w:trHeight w:val="2755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4" w:space="0" w:color="3B8493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61FFD07" w14:textId="7A0B2532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9. Descripción de la intervención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15AC9C" w14:textId="7276BEBF" w:rsidR="00840C10" w:rsidRPr="00AD0B7E" w:rsidRDefault="00840C10" w:rsidP="00840C10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u w:val="single"/>
              </w:rPr>
            </w:pPr>
            <w:r w:rsidRPr="00AD0B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Promoción del consumo consciente y de productos locales.</w:t>
            </w:r>
            <w:r w:rsidR="00AD0B7E" w:rsidRPr="00AD0B7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AD0B7E" w:rsidRPr="00AD0B7E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proofErr w:type="spellStart"/>
            <w:r w:rsidRPr="00AD0B7E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>i</w:t>
            </w:r>
            <w:r w:rsidRPr="00A35063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>señada</w:t>
            </w:r>
            <w:proofErr w:type="spellEnd"/>
            <w:r w:rsidRPr="00A35063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 xml:space="preserve"> desde un enfoque de Incidencia Social, es decir, desde la intención de generar una transformación social a partir de informar, sensibilizar, motivar y desarrollar habilidades que </w:t>
            </w:r>
            <w:r w:rsidR="00AD0B7E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>incentiven</w:t>
            </w:r>
            <w:r w:rsidRPr="00A35063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 xml:space="preserve"> </w:t>
            </w:r>
            <w:r w:rsidR="00AD0B7E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>c</w:t>
            </w:r>
            <w:r w:rsidRPr="00A35063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 xml:space="preserve">ambios de </w:t>
            </w:r>
            <w:r w:rsidR="00AD0B7E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>c</w:t>
            </w:r>
            <w:r w:rsidRPr="00A35063">
              <w:rPr>
                <w:rFonts w:asciiTheme="majorHAnsi" w:eastAsiaTheme="minorEastAsia" w:hAnsiTheme="majorHAnsi" w:cstheme="majorHAnsi"/>
                <w:sz w:val="20"/>
                <w:szCs w:val="20"/>
                <w:lang w:val="es-BO"/>
              </w:rPr>
              <w:t>omportamiento en el consumo de alimentos de la población.</w:t>
            </w:r>
          </w:p>
          <w:p w14:paraId="768BB229" w14:textId="77777777" w:rsidR="00840C10" w:rsidRPr="00A35063" w:rsidRDefault="00840C10" w:rsidP="00840C10">
            <w:pPr>
              <w:spacing w:after="8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35063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Multiplicación para el escalamiento: 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se enfocará en la identificación conjunta de posibles soluciones relacionadas a la Promoción del Consumo Consciente de alimentos, a través de una metodología denominada </w:t>
            </w:r>
            <w:proofErr w:type="spellStart"/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Food</w:t>
            </w:r>
            <w:proofErr w:type="spellEnd"/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</w:t>
            </w:r>
            <w:proofErr w:type="spellStart"/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Labs</w:t>
            </w:r>
            <w:proofErr w:type="spellEnd"/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(Laboratorios de Innovación Social) con la participación de diferentes sectores de la población. Además, se enfoca en la sensibilización y entrenamiento de dos públicos principales (Estudiantes de gastronomía y colectivos y emprendimientos de alimentación sostenible). </w:t>
            </w:r>
          </w:p>
          <w:p w14:paraId="683ED8C3" w14:textId="244B0C99" w:rsidR="00840C10" w:rsidRPr="00A35063" w:rsidRDefault="00840C10" w:rsidP="00840C10">
            <w:pPr>
              <w:spacing w:after="8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BO"/>
              </w:rPr>
              <w:t xml:space="preserve">Sensibilización y desarrollo de habilidades de Consumo Consciente a partir de herramientas innovadoras: 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se enfocará en sensibilizar y desarrollar habilidades en consumidores/as de diferente sectores de la población dentro de nuestro grupo meta (personas jóvenes en general y madres, hombres y mujeres en situación de vulnerabilidad económica en concreto) a través de dos herramientas: Talleres Vivenciales de Consumo Consciente que serán impartidos conjuntamente con los grupos multiplicadores y mediante un Espacio Interactivo de sensibilización que está compuesto de diferentes instalaciones artísticas/educativas (videos en realidad virtual, las cajas de los sentidos, entre otras) </w:t>
            </w:r>
          </w:p>
          <w:p w14:paraId="4E0E9312" w14:textId="043E55E2" w:rsidR="00840C10" w:rsidRPr="00A35063" w:rsidRDefault="00840C10" w:rsidP="00840C10">
            <w:pPr>
              <w:spacing w:after="80" w:line="276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es-BO" w:eastAsia="es-GT"/>
              </w:rPr>
            </w:pP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BO"/>
              </w:rPr>
              <w:t xml:space="preserve">Promoción del Consumo Consciente de productos del Bosque: 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en Tierras Bajas la promoción del consumo consciente hará énfasis en poner en valor las funciones ambientales de los productos del bosque como un beneficio a toda la población (agua, suelo y clima), es decir, no solo se verá a los productos del bosque, sino que se mostrará lo que existe detrás de los productos</w:t>
            </w:r>
            <w:r w:rsidR="00BA0FA7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: 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funciones ambientales, territorio, trabajo de las mujeres</w:t>
            </w:r>
            <w:r w:rsidR="00BA0FA7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</w:t>
            </w:r>
          </w:p>
          <w:p w14:paraId="202CF867" w14:textId="77777777" w:rsidR="00840C10" w:rsidRPr="00A35063" w:rsidRDefault="00840C10" w:rsidP="00840C10">
            <w:pPr>
              <w:spacing w:after="8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35063">
              <w:rPr>
                <w:rFonts w:asciiTheme="majorHAnsi" w:eastAsia="Times New Roman" w:hAnsiTheme="majorHAnsi" w:cstheme="majorHAnsi"/>
                <w:sz w:val="20"/>
                <w:szCs w:val="20"/>
                <w:lang w:val="es-BO" w:eastAsia="es-GT"/>
              </w:rPr>
              <w:t xml:space="preserve">Actualmente, existe un bajo consumo de pescado (pacú y </w:t>
            </w:r>
            <w:proofErr w:type="spellStart"/>
            <w:r w:rsidRPr="00A35063">
              <w:rPr>
                <w:rFonts w:asciiTheme="majorHAnsi" w:eastAsia="Times New Roman" w:hAnsiTheme="majorHAnsi" w:cstheme="majorHAnsi"/>
                <w:sz w:val="20"/>
                <w:szCs w:val="20"/>
                <w:lang w:val="es-BO" w:eastAsia="es-GT"/>
              </w:rPr>
              <w:t>tambaqui</w:t>
            </w:r>
            <w:proofErr w:type="spellEnd"/>
            <w:r w:rsidRPr="00A35063">
              <w:rPr>
                <w:rFonts w:asciiTheme="majorHAnsi" w:eastAsia="Times New Roman" w:hAnsiTheme="majorHAnsi" w:cstheme="majorHAnsi"/>
                <w:sz w:val="20"/>
                <w:szCs w:val="20"/>
                <w:lang w:val="es-BO" w:eastAsia="es-GT"/>
              </w:rPr>
              <w:t>) en la población boliviana (consumo per cápita de 3,5 Kg/persona/año)</w:t>
            </w:r>
            <w:r w:rsidRPr="00A35063">
              <w:rPr>
                <w:rStyle w:val="Refdenotaalpie"/>
                <w:rFonts w:asciiTheme="majorHAnsi" w:eastAsia="Times New Roman" w:hAnsiTheme="majorHAnsi" w:cstheme="majorHAnsi"/>
                <w:sz w:val="20"/>
                <w:szCs w:val="20"/>
                <w:lang w:val="es-BO" w:eastAsia="es-GT"/>
              </w:rPr>
              <w:footnoteReference w:id="1"/>
            </w:r>
            <w:r w:rsidRPr="00A35063">
              <w:rPr>
                <w:rFonts w:asciiTheme="majorHAnsi" w:eastAsia="Times New Roman" w:hAnsiTheme="majorHAnsi" w:cstheme="majorHAnsi"/>
                <w:sz w:val="20"/>
                <w:szCs w:val="20"/>
                <w:lang w:val="es-BO" w:eastAsia="es-GT"/>
              </w:rPr>
              <w:t>, las acciones estarán integradas en torno incrementar el consumo en la población con una valorización de los territorios en Tierras Bajas.</w:t>
            </w:r>
          </w:p>
          <w:p w14:paraId="7842393E" w14:textId="77777777" w:rsidR="00840C10" w:rsidRPr="00A35063" w:rsidRDefault="00840C10" w:rsidP="00840C10">
            <w:pPr>
              <w:spacing w:after="8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BO"/>
              </w:rPr>
              <w:t xml:space="preserve">Campaña 360° de promoción de Consumo Consciente: 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se orientará a difundir información sobre Consumo Consiente de alimentos (qué alimentos consumir y por qué, sus beneficios y características, cómo consumirlos, cómo prepararlos, cómo conservarlos, dónde comprarlos, qué hacer con sus residuos, etc.). Los alimentos que se priorizan para su difusión proceden de diferentes espacios de promoción, oferta y venta de alimentos (Subsidio/SEDEM, 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lastRenderedPageBreak/>
              <w:t>Distribuidora/</w:t>
            </w:r>
            <w:proofErr w:type="spellStart"/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EcoTambo</w:t>
            </w:r>
            <w:proofErr w:type="spellEnd"/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, Feria Enjambre/Espacio Armonía, además de algunos alimentos representativos entre frutas y hortalizas).</w:t>
            </w:r>
          </w:p>
          <w:p w14:paraId="1F9AF7B6" w14:textId="77777777" w:rsidR="00840C10" w:rsidRPr="00A35063" w:rsidRDefault="00840C10" w:rsidP="00840C10">
            <w:pPr>
              <w:spacing w:after="8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A35063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Evaluación del impacto en consumidores y consumidoras: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se enfocará, por un lado, en diseñar e implementar un monitoreo y seguimiento continuo a las actividades para que se puedan medir, se enfoca en continuar el desarrollo del “Sistema de Monitoreo y Evaluación del Cambio de Comportamiento – SMECC” desarrollado por Cosecha Colectiva, con la intención de proporcionar datos sobre la mejora de hábitos de consumo de alimentos en la población paceña.</w:t>
            </w:r>
          </w:p>
          <w:p w14:paraId="778246BC" w14:textId="01504BA5" w:rsidR="00840C10" w:rsidRPr="004C36AE" w:rsidRDefault="00840C10" w:rsidP="004C36AE">
            <w:pPr>
              <w:autoSpaceDE w:val="0"/>
              <w:autoSpaceDN w:val="0"/>
              <w:adjustRightInd w:val="0"/>
              <w:spacing w:after="80"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Promoción del consumo del </w:t>
            </w:r>
            <w:r w:rsidR="004C36AE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</w:t>
            </w: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ubsidio de </w:t>
            </w:r>
            <w:r w:rsidR="004C36AE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L</w:t>
            </w: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actancia</w:t>
            </w:r>
            <w:r w:rsidRPr="00A35063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.</w:t>
            </w:r>
            <w:r w:rsidR="004C36AE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</w:t>
            </w:r>
            <w:r w:rsidRPr="00A350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propone la implementación de un </w:t>
            </w:r>
            <w:r w:rsidRPr="00A3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mecanismo de promoción del consumo del Subsidio de Lactancia (productos transformados y frescos)</w:t>
            </w:r>
            <w:r w:rsidRPr="00A350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este mecanismo contribuiría en los siguientes ámbitos</w:t>
            </w:r>
          </w:p>
        </w:tc>
      </w:tr>
      <w:tr w:rsidR="00840C10" w:rsidRPr="0060706E" w14:paraId="4148D7FE" w14:textId="77777777" w:rsidTr="00D1528B">
        <w:trPr>
          <w:trHeight w:val="2307"/>
          <w:jc w:val="center"/>
        </w:trPr>
        <w:tc>
          <w:tcPr>
            <w:tcW w:w="2012" w:type="dxa"/>
            <w:tcBorders>
              <w:top w:val="single" w:sz="18" w:space="0" w:color="FFFFFF"/>
              <w:left w:val="single" w:sz="4" w:space="0" w:color="FFFFFF" w:themeColor="background1"/>
              <w:bottom w:val="single" w:sz="1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5DF83" w14:textId="2512524F" w:rsidR="00840C10" w:rsidRPr="00677765" w:rsidRDefault="00840C10" w:rsidP="00840C10">
            <w:pPr>
              <w:rPr>
                <w:b/>
                <w:bCs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bCs/>
                <w:color w:val="3B8493"/>
                <w:sz w:val="20"/>
                <w:szCs w:val="20"/>
                <w:lang w:val="es-US"/>
              </w:rPr>
              <w:lastRenderedPageBreak/>
              <w:t>10. Impactos esperados de Grupo Meta (de manera general)</w:t>
            </w:r>
          </w:p>
        </w:tc>
        <w:tc>
          <w:tcPr>
            <w:tcW w:w="7986" w:type="dxa"/>
            <w:gridSpan w:val="3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62D796E" w14:textId="77777777" w:rsidR="00840C10" w:rsidRPr="00A35063" w:rsidRDefault="00840C10" w:rsidP="00840C10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  <w:r w:rsidRPr="00A35063">
              <w:rPr>
                <w:rFonts w:asciiTheme="majorHAnsi" w:eastAsia="ヒラギノ角ゴ Pro W3" w:hAnsiTheme="majorHAnsi" w:cstheme="majorHAnsi"/>
                <w:b/>
                <w:bCs/>
                <w:color w:val="4472C4" w:themeColor="accent1"/>
                <w:sz w:val="20"/>
                <w:szCs w:val="20"/>
              </w:rPr>
              <w:t>Grupo meta:</w:t>
            </w:r>
          </w:p>
          <w:p w14:paraId="199822B7" w14:textId="77777777" w:rsidR="00840C10" w:rsidRPr="00A35063" w:rsidRDefault="00840C10" w:rsidP="00840C10">
            <w:pPr>
              <w:pStyle w:val="Default"/>
              <w:jc w:val="both"/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</w:pPr>
            <w:r w:rsidRPr="00A35063">
              <w:rPr>
                <w:rFonts w:asciiTheme="majorHAnsi" w:eastAsia="ヒラギノ角ゴ Pro W3" w:hAnsiTheme="majorHAnsi" w:cstheme="majorHAnsi"/>
                <w:b/>
                <w:bCs/>
                <w:sz w:val="20"/>
                <w:szCs w:val="20"/>
              </w:rPr>
              <w:t>Acceso</w:t>
            </w:r>
          </w:p>
          <w:p w14:paraId="7C789155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 xml:space="preserve">Acceden a información sobre alimentos saludables y sostenibles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agrobiodiversidad.</w:t>
            </w:r>
          </w:p>
          <w:p w14:paraId="386C5554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Acceden a actividades de sensibilización en un espacio interactivo</w:t>
            </w:r>
          </w:p>
          <w:p w14:paraId="2F123D46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Acceden talleres para desarrollar habilidades de Consumo Consciente</w:t>
            </w:r>
          </w:p>
          <w:p w14:paraId="69C58463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Acceden a talleres de entrenamiento para multiplicar el mensaje de la alimentación sostenible</w:t>
            </w:r>
          </w:p>
          <w:p w14:paraId="5974C1A0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Acceden a más espacios de venta y promoción de alimentos agroecológicos</w:t>
            </w:r>
          </w:p>
          <w:p w14:paraId="6F34F409" w14:textId="77777777" w:rsidR="00840C10" w:rsidRPr="00A35063" w:rsidRDefault="00840C10" w:rsidP="00840C10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Mejora</w:t>
            </w:r>
          </w:p>
          <w:p w14:paraId="5D82E019" w14:textId="4B7A3AB8" w:rsidR="00840C10" w:rsidRPr="00A35063" w:rsidRDefault="004C36AE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Incrementan sus </w:t>
            </w:r>
            <w:r w:rsidR="00840C10" w:rsidRPr="00A35063">
              <w:rPr>
                <w:rFonts w:asciiTheme="majorHAnsi" w:hAnsiTheme="majorHAnsi" w:cstheme="majorHAnsi"/>
                <w:sz w:val="20"/>
                <w:szCs w:val="20"/>
              </w:rPr>
              <w:t>conocimiento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840C10" w:rsidRPr="00A35063">
              <w:rPr>
                <w:rFonts w:asciiTheme="majorHAnsi" w:hAnsiTheme="majorHAnsi" w:cstheme="majorHAnsi"/>
                <w:sz w:val="20"/>
                <w:szCs w:val="20"/>
              </w:rPr>
              <w:t xml:space="preserve"> y entendimiento sobre los beneficios e impactos (nutricionales y ambientales) de los alimentos que consumen</w:t>
            </w:r>
          </w:p>
          <w:p w14:paraId="00DC0F67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Mejoran sus percepciones respecto a los alimentos saludables y sostenibles</w:t>
            </w:r>
          </w:p>
          <w:p w14:paraId="1547A09D" w14:textId="77777777" w:rsidR="00840C10" w:rsidRPr="00A35063" w:rsidRDefault="00840C10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Mejoran sus habilidades para decidir qué comer, que preparar, dónde comprar, cómo conservar y qué hacer con los residuos de sus alimentos</w:t>
            </w:r>
          </w:p>
          <w:p w14:paraId="77E9515E" w14:textId="77777777" w:rsidR="00840C10" w:rsidRPr="00A35063" w:rsidRDefault="00840C10" w:rsidP="00840C10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506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Impacto</w:t>
            </w:r>
          </w:p>
          <w:p w14:paraId="4EC71A41" w14:textId="26584B3C" w:rsidR="00840C10" w:rsidRPr="00A35063" w:rsidRDefault="004C36AE" w:rsidP="00840C10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 incrementa la d</w:t>
            </w:r>
            <w:r w:rsidR="00840C10" w:rsidRPr="00A35063">
              <w:rPr>
                <w:rFonts w:asciiTheme="majorHAnsi" w:hAnsiTheme="majorHAnsi" w:cstheme="majorHAnsi"/>
                <w:sz w:val="20"/>
                <w:szCs w:val="20"/>
              </w:rPr>
              <w:t>emandan productos agroecológicos</w:t>
            </w:r>
          </w:p>
          <w:p w14:paraId="04A822B9" w14:textId="47470D93" w:rsidR="00840C10" w:rsidRPr="004F6559" w:rsidRDefault="00840C10" w:rsidP="00840C10">
            <w:pPr>
              <w:pStyle w:val="Prrafodelista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A35063">
              <w:rPr>
                <w:rFonts w:asciiTheme="majorHAnsi" w:hAnsiTheme="majorHAnsi" w:cstheme="majorHAnsi"/>
                <w:sz w:val="20"/>
                <w:szCs w:val="20"/>
              </w:rPr>
              <w:t>Difunden el mensaje de la alimentación sostenible</w:t>
            </w:r>
          </w:p>
        </w:tc>
      </w:tr>
      <w:tr w:rsidR="00840C10" w:rsidRPr="0060706E" w14:paraId="508D68AC" w14:textId="77777777" w:rsidTr="003E2A4E">
        <w:trPr>
          <w:trHeight w:val="20"/>
          <w:jc w:val="center"/>
        </w:trPr>
        <w:tc>
          <w:tcPr>
            <w:tcW w:w="2012" w:type="dxa"/>
            <w:vMerge w:val="restart"/>
            <w:tcBorders>
              <w:top w:val="single" w:sz="18" w:space="0" w:color="FFFFFF"/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65CB95" w14:textId="684929CD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  <w:r w:rsidRPr="00677765">
              <w:rPr>
                <w:b/>
                <w:color w:val="3B8493"/>
                <w:sz w:val="20"/>
                <w:szCs w:val="20"/>
                <w:lang w:val="es-US"/>
              </w:rPr>
              <w:t>11. Aspectos Transversales</w:t>
            </w: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E17C7AD" w14:textId="77777777" w:rsidR="00840C10" w:rsidRPr="00695057" w:rsidRDefault="00840C10" w:rsidP="00840C1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Empoderamiento de las mujeres</w:t>
            </w:r>
          </w:p>
        </w:tc>
        <w:tc>
          <w:tcPr>
            <w:tcW w:w="2923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4" w:space="0" w:color="FFFFFF" w:themeColor="background1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542CE3" w14:textId="37C78BDC" w:rsidR="00840C10" w:rsidRPr="00695057" w:rsidRDefault="00840C10" w:rsidP="00840C10">
            <w:pPr>
              <w:tabs>
                <w:tab w:val="left" w:pos="416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 xml:space="preserve">Cambio climático </w:t>
            </w:r>
          </w:p>
        </w:tc>
        <w:tc>
          <w:tcPr>
            <w:tcW w:w="2348" w:type="dxa"/>
            <w:tcBorders>
              <w:top w:val="single" w:sz="8" w:space="0" w:color="3B8493"/>
              <w:left w:val="single" w:sz="4" w:space="0" w:color="FFFFFF" w:themeColor="background1"/>
              <w:bottom w:val="single" w:sz="8" w:space="0" w:color="3B8493"/>
              <w:right w:val="single" w:sz="8" w:space="0" w:color="3B8493"/>
            </w:tcBorders>
            <w:shd w:val="clear" w:color="auto" w:fill="3B8493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98F8CB" w14:textId="31C718A8" w:rsidR="00840C10" w:rsidRPr="00695057" w:rsidRDefault="00840C10" w:rsidP="00840C10">
            <w:pPr>
              <w:tabs>
                <w:tab w:val="left" w:pos="939"/>
                <w:tab w:val="center" w:pos="1252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</w:pPr>
            <w:r w:rsidRPr="0069505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US"/>
              </w:rPr>
              <w:t>Gobernabilidad</w:t>
            </w:r>
          </w:p>
        </w:tc>
      </w:tr>
      <w:tr w:rsidR="00840C10" w:rsidRPr="0060706E" w14:paraId="0D59D4EA" w14:textId="77777777" w:rsidTr="003E2A4E">
        <w:trPr>
          <w:trHeight w:val="3161"/>
          <w:jc w:val="center"/>
        </w:trPr>
        <w:tc>
          <w:tcPr>
            <w:tcW w:w="2012" w:type="dxa"/>
            <w:vMerge/>
            <w:tcBorders>
              <w:left w:val="single" w:sz="8" w:space="0" w:color="FFFFFF"/>
              <w:right w:val="single" w:sz="8" w:space="0" w:color="3B8493"/>
            </w:tcBorders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9A7B916" w14:textId="77777777" w:rsidR="00840C10" w:rsidRPr="00677765" w:rsidRDefault="00840C10" w:rsidP="00840C10">
            <w:pPr>
              <w:rPr>
                <w:b/>
                <w:color w:val="3B8493"/>
                <w:sz w:val="20"/>
                <w:szCs w:val="20"/>
                <w:lang w:val="es-US"/>
              </w:rPr>
            </w:pPr>
          </w:p>
        </w:tc>
        <w:tc>
          <w:tcPr>
            <w:tcW w:w="2715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4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4277300" w14:textId="77777777" w:rsidR="00840C10" w:rsidRPr="003A17B8" w:rsidRDefault="00840C10" w:rsidP="00840C1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3A17B8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Acciones especialmente enfocadas al empoderamiento de las  mujeres.</w:t>
            </w:r>
          </w:p>
          <w:p w14:paraId="62443A80" w14:textId="787389D5" w:rsidR="00840C10" w:rsidRPr="00190191" w:rsidRDefault="00840C10" w:rsidP="00840C1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3A17B8"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Búsqueda de soluciones a partir de la mirada y reflexión de las mujeres.</w:t>
            </w:r>
            <w:r w:rsidRPr="007C13A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.</w:t>
            </w:r>
          </w:p>
        </w:tc>
        <w:tc>
          <w:tcPr>
            <w:tcW w:w="2923" w:type="dxa"/>
            <w:tcBorders>
              <w:top w:val="single" w:sz="8" w:space="0" w:color="3B8493"/>
              <w:left w:val="single" w:sz="4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A1CDE8" w14:textId="77777777" w:rsidR="00840C10" w:rsidRPr="003A17B8" w:rsidRDefault="00840C10" w:rsidP="00840C1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3A17B8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Mejorar los hábitos de consumo de alimentos hacia una alimentación más saludable y sostenible reduce los impactos ambientales, en especial las emisiones de gases de efecto invernadero, relacionadas con el Cambio Climático. </w:t>
            </w:r>
          </w:p>
          <w:p w14:paraId="6E8523ED" w14:textId="6D1D953C" w:rsidR="00840C10" w:rsidRPr="006E7B0F" w:rsidRDefault="00840C10" w:rsidP="00840C1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US"/>
              </w:rPr>
            </w:pPr>
            <w:r w:rsidRPr="003A17B8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El Consumo Consciente es parte de un</w:t>
            </w:r>
            <w:r w:rsidR="004C36A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estilo</w:t>
            </w:r>
            <w:r w:rsidRPr="003A17B8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de vida con </w:t>
            </w:r>
            <w:r w:rsidR="004C36AE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>menor</w:t>
            </w:r>
            <w:r w:rsidRPr="003A17B8">
              <w:rPr>
                <w:rFonts w:asciiTheme="majorHAnsi" w:hAnsiTheme="majorHAnsi" w:cstheme="majorHAnsi"/>
                <w:sz w:val="20"/>
                <w:szCs w:val="20"/>
                <w:lang w:val="es-US"/>
              </w:rPr>
              <w:t xml:space="preserve"> impacto ambiental.</w:t>
            </w:r>
          </w:p>
        </w:tc>
        <w:tc>
          <w:tcPr>
            <w:tcW w:w="2348" w:type="dxa"/>
            <w:tcBorders>
              <w:top w:val="single" w:sz="8" w:space="0" w:color="3B8493"/>
              <w:left w:val="single" w:sz="8" w:space="0" w:color="3B8493"/>
              <w:bottom w:val="single" w:sz="8" w:space="0" w:color="3B8493"/>
              <w:right w:val="single" w:sz="8" w:space="0" w:color="3B8493"/>
            </w:tcBorders>
            <w:shd w:val="clear" w:color="auto" w:fill="FFFFFF" w:themeFill="background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CA7791" w14:textId="44DA4135" w:rsidR="00840C10" w:rsidRPr="00190191" w:rsidRDefault="00840C10" w:rsidP="00840C1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es-US"/>
              </w:rPr>
              <w:t>No aplica.</w:t>
            </w:r>
          </w:p>
        </w:tc>
      </w:tr>
    </w:tbl>
    <w:p w14:paraId="06243E68" w14:textId="77777777" w:rsidR="004F6559" w:rsidRPr="004C36AE" w:rsidRDefault="004F6559" w:rsidP="008555BC"/>
    <w:sectPr w:rsidR="004F6559" w:rsidRPr="004C36AE" w:rsidSect="00855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7" w:right="1701" w:bottom="1122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4EE9" w14:textId="77777777" w:rsidR="001879B2" w:rsidRDefault="001879B2" w:rsidP="00E50C2C">
      <w:pPr>
        <w:spacing w:after="0" w:line="240" w:lineRule="auto"/>
      </w:pPr>
      <w:r>
        <w:separator/>
      </w:r>
    </w:p>
  </w:endnote>
  <w:endnote w:type="continuationSeparator" w:id="0">
    <w:p w14:paraId="43280229" w14:textId="77777777" w:rsidR="001879B2" w:rsidRDefault="001879B2" w:rsidP="00E5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2426" w14:textId="77777777" w:rsidR="00700ED0" w:rsidRDefault="00700E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581D" w14:textId="77777777" w:rsidR="00700ED0" w:rsidRDefault="00700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A6" w14:textId="77777777" w:rsidR="00700ED0" w:rsidRDefault="00700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A764" w14:textId="77777777" w:rsidR="001879B2" w:rsidRDefault="001879B2" w:rsidP="00E50C2C">
      <w:pPr>
        <w:spacing w:after="0" w:line="240" w:lineRule="auto"/>
      </w:pPr>
      <w:r>
        <w:separator/>
      </w:r>
    </w:p>
  </w:footnote>
  <w:footnote w:type="continuationSeparator" w:id="0">
    <w:p w14:paraId="798D7041" w14:textId="77777777" w:rsidR="001879B2" w:rsidRDefault="001879B2" w:rsidP="00E50C2C">
      <w:pPr>
        <w:spacing w:after="0" w:line="240" w:lineRule="auto"/>
      </w:pPr>
      <w:r>
        <w:continuationSeparator/>
      </w:r>
    </w:p>
  </w:footnote>
  <w:footnote w:id="1">
    <w:p w14:paraId="41F93AC6" w14:textId="77777777" w:rsidR="00840C10" w:rsidRPr="00A35063" w:rsidRDefault="00840C10" w:rsidP="003A3728">
      <w:pPr>
        <w:pStyle w:val="Textonotapie"/>
        <w:rPr>
          <w:rFonts w:ascii="Arial Narrow" w:hAnsi="Arial Narrow"/>
          <w:sz w:val="18"/>
          <w:szCs w:val="18"/>
        </w:rPr>
      </w:pPr>
      <w:r w:rsidRPr="68A5BC26">
        <w:rPr>
          <w:rStyle w:val="Refdenotaalpie"/>
        </w:rPr>
        <w:footnoteRef/>
      </w:r>
      <w:r w:rsidRPr="68A5BC26">
        <w:t xml:space="preserve"> </w:t>
      </w:r>
      <w:r w:rsidRPr="00A35063">
        <w:rPr>
          <w:rFonts w:ascii="Arial Narrow" w:hAnsi="Arial Narrow"/>
          <w:sz w:val="18"/>
          <w:szCs w:val="18"/>
        </w:rPr>
        <w:t>Fuente: Investigación de mercado sobre el consumo de pescado de Bolivia. (2015). QUATRIM-IMG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F94" w14:textId="77777777" w:rsidR="00700ED0" w:rsidRDefault="00700E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B72C" w14:textId="2FA42509" w:rsidR="00E50C2C" w:rsidRPr="00E50C2C" w:rsidRDefault="005E7A57" w:rsidP="00E50C2C">
    <w:pPr>
      <w:pStyle w:val="Encabezado"/>
      <w:ind w:left="-1701"/>
    </w:pPr>
    <w:r>
      <w:rPr>
        <w:noProof/>
      </w:rPr>
      <w:drawing>
        <wp:inline distT="0" distB="0" distL="0" distR="0" wp14:anchorId="472DA6CE" wp14:editId="03A8D5AA">
          <wp:extent cx="7582516" cy="144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1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147" w14:textId="77777777" w:rsidR="00700ED0" w:rsidRDefault="00700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B8"/>
    <w:multiLevelType w:val="multilevel"/>
    <w:tmpl w:val="F238F80A"/>
    <w:lvl w:ilvl="0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E65E6"/>
    <w:multiLevelType w:val="multilevel"/>
    <w:tmpl w:val="C1D499EA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B13DE3"/>
    <w:multiLevelType w:val="hybridMultilevel"/>
    <w:tmpl w:val="E5FA5FDA"/>
    <w:lvl w:ilvl="0" w:tplc="B63804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F48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C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E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0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C0D"/>
    <w:multiLevelType w:val="hybridMultilevel"/>
    <w:tmpl w:val="AC54856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C8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529DB"/>
    <w:multiLevelType w:val="multilevel"/>
    <w:tmpl w:val="64520B4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EE3184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94020"/>
    <w:multiLevelType w:val="multilevel"/>
    <w:tmpl w:val="98BCE9C8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4"/>
      <w:numFmt w:val="bullet"/>
      <w:lvlText w:val="-"/>
      <w:lvlJc w:val="left"/>
      <w:pPr>
        <w:ind w:left="792" w:hanging="432"/>
      </w:pPr>
      <w:rPr>
        <w:rFonts w:ascii="Calibri" w:eastAsiaTheme="minorHAns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C8238D"/>
    <w:multiLevelType w:val="hybridMultilevel"/>
    <w:tmpl w:val="363879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C2C0B"/>
    <w:multiLevelType w:val="hybridMultilevel"/>
    <w:tmpl w:val="1FCC57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10DAB"/>
    <w:multiLevelType w:val="hybridMultilevel"/>
    <w:tmpl w:val="2AD455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8EF"/>
    <w:multiLevelType w:val="hybridMultilevel"/>
    <w:tmpl w:val="FEDE4F66"/>
    <w:lvl w:ilvl="0" w:tplc="4F7498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4F47AF"/>
    <w:multiLevelType w:val="hybridMultilevel"/>
    <w:tmpl w:val="B00EBAD0"/>
    <w:lvl w:ilvl="0" w:tplc="31D6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4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C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06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63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0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A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F9D"/>
    <w:multiLevelType w:val="hybridMultilevel"/>
    <w:tmpl w:val="64520B4C"/>
    <w:lvl w:ilvl="0" w:tplc="CA1E7E5A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310770"/>
    <w:multiLevelType w:val="hybridMultilevel"/>
    <w:tmpl w:val="F238F80A"/>
    <w:lvl w:ilvl="0" w:tplc="6F4EA0BC">
      <w:start w:val="1"/>
      <w:numFmt w:val="bullet"/>
      <w:lvlText w:val="•"/>
      <w:lvlJc w:val="left"/>
      <w:pPr>
        <w:tabs>
          <w:tab w:val="num" w:pos="283"/>
        </w:tabs>
        <w:ind w:left="283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65241"/>
    <w:multiLevelType w:val="hybridMultilevel"/>
    <w:tmpl w:val="9FD88A1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B0D67"/>
    <w:multiLevelType w:val="hybridMultilevel"/>
    <w:tmpl w:val="C1D499EA"/>
    <w:lvl w:ilvl="0" w:tplc="488EE6D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623A4C"/>
    <w:multiLevelType w:val="hybridMultilevel"/>
    <w:tmpl w:val="82B83D72"/>
    <w:lvl w:ilvl="0" w:tplc="A39AB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010F"/>
    <w:multiLevelType w:val="hybridMultilevel"/>
    <w:tmpl w:val="7E9CB698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7D5809"/>
    <w:multiLevelType w:val="hybridMultilevel"/>
    <w:tmpl w:val="30EC5B6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86D2850"/>
    <w:multiLevelType w:val="multilevel"/>
    <w:tmpl w:val="FEDE4F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BBB527F"/>
    <w:multiLevelType w:val="hybridMultilevel"/>
    <w:tmpl w:val="0D060970"/>
    <w:lvl w:ilvl="0" w:tplc="DDC45F4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6A557D"/>
    <w:multiLevelType w:val="multilevel"/>
    <w:tmpl w:val="8F0428C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7024A7"/>
    <w:multiLevelType w:val="multilevel"/>
    <w:tmpl w:val="1D12B91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7C4711"/>
    <w:multiLevelType w:val="hybridMultilevel"/>
    <w:tmpl w:val="1D12B916"/>
    <w:lvl w:ilvl="0" w:tplc="646CEF4E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72282B"/>
    <w:multiLevelType w:val="hybridMultilevel"/>
    <w:tmpl w:val="65C24018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7803C5"/>
    <w:multiLevelType w:val="hybridMultilevel"/>
    <w:tmpl w:val="9B28E63E"/>
    <w:lvl w:ilvl="0" w:tplc="BC021902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CD728C8"/>
    <w:multiLevelType w:val="hybridMultilevel"/>
    <w:tmpl w:val="8F0428CC"/>
    <w:lvl w:ilvl="0" w:tplc="57DE5FEA">
      <w:start w:val="1"/>
      <w:numFmt w:val="bullet"/>
      <w:lvlText w:val="•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625E1D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124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D69A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60C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8838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F4A2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19A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204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541B00"/>
    <w:multiLevelType w:val="hybridMultilevel"/>
    <w:tmpl w:val="99480A4A"/>
    <w:lvl w:ilvl="0" w:tplc="91DA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49876">
    <w:abstractNumId w:val="15"/>
  </w:num>
  <w:num w:numId="2" w16cid:durableId="982613223">
    <w:abstractNumId w:val="18"/>
  </w:num>
  <w:num w:numId="3" w16cid:durableId="1302266095">
    <w:abstractNumId w:val="11"/>
  </w:num>
  <w:num w:numId="4" w16cid:durableId="1747409689">
    <w:abstractNumId w:val="28"/>
  </w:num>
  <w:num w:numId="5" w16cid:durableId="743261991">
    <w:abstractNumId w:val="9"/>
  </w:num>
  <w:num w:numId="6" w16cid:durableId="556401820">
    <w:abstractNumId w:val="12"/>
  </w:num>
  <w:num w:numId="7" w16cid:durableId="2056194369">
    <w:abstractNumId w:val="8"/>
  </w:num>
  <w:num w:numId="8" w16cid:durableId="1729330938">
    <w:abstractNumId w:val="2"/>
  </w:num>
  <w:num w:numId="9" w16cid:durableId="2084140254">
    <w:abstractNumId w:val="10"/>
  </w:num>
  <w:num w:numId="10" w16cid:durableId="1813447891">
    <w:abstractNumId w:val="3"/>
  </w:num>
  <w:num w:numId="11" w16cid:durableId="66465159">
    <w:abstractNumId w:val="7"/>
  </w:num>
  <w:num w:numId="12" w16cid:durableId="1254784020">
    <w:abstractNumId w:val="17"/>
  </w:num>
  <w:num w:numId="13" w16cid:durableId="878664815">
    <w:abstractNumId w:val="20"/>
  </w:num>
  <w:num w:numId="14" w16cid:durableId="1225918132">
    <w:abstractNumId w:val="13"/>
  </w:num>
  <w:num w:numId="15" w16cid:durableId="672612144">
    <w:abstractNumId w:val="5"/>
  </w:num>
  <w:num w:numId="16" w16cid:durableId="1329820742">
    <w:abstractNumId w:val="24"/>
  </w:num>
  <w:num w:numId="17" w16cid:durableId="629364816">
    <w:abstractNumId w:val="23"/>
  </w:num>
  <w:num w:numId="18" w16cid:durableId="331418006">
    <w:abstractNumId w:val="14"/>
  </w:num>
  <w:num w:numId="19" w16cid:durableId="831290132">
    <w:abstractNumId w:val="0"/>
  </w:num>
  <w:num w:numId="20" w16cid:durableId="1224104379">
    <w:abstractNumId w:val="16"/>
  </w:num>
  <w:num w:numId="21" w16cid:durableId="837693248">
    <w:abstractNumId w:val="1"/>
  </w:num>
  <w:num w:numId="22" w16cid:durableId="1498569851">
    <w:abstractNumId w:val="27"/>
  </w:num>
  <w:num w:numId="23" w16cid:durableId="1576358192">
    <w:abstractNumId w:val="22"/>
  </w:num>
  <w:num w:numId="24" w16cid:durableId="567308554">
    <w:abstractNumId w:val="25"/>
  </w:num>
  <w:num w:numId="25" w16cid:durableId="1314598859">
    <w:abstractNumId w:val="4"/>
  </w:num>
  <w:num w:numId="26" w16cid:durableId="202643231">
    <w:abstractNumId w:val="26"/>
  </w:num>
  <w:num w:numId="27" w16cid:durableId="1534803238">
    <w:abstractNumId w:val="6"/>
  </w:num>
  <w:num w:numId="28" w16cid:durableId="1559321574">
    <w:abstractNumId w:val="19"/>
  </w:num>
  <w:num w:numId="29" w16cid:durableId="711265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D"/>
    <w:rsid w:val="00037B71"/>
    <w:rsid w:val="00057B9E"/>
    <w:rsid w:val="000677AC"/>
    <w:rsid w:val="000D3B2D"/>
    <w:rsid w:val="000E5646"/>
    <w:rsid w:val="001002A2"/>
    <w:rsid w:val="00124DD7"/>
    <w:rsid w:val="0013025E"/>
    <w:rsid w:val="001879B2"/>
    <w:rsid w:val="00190191"/>
    <w:rsid w:val="00195705"/>
    <w:rsid w:val="00195766"/>
    <w:rsid w:val="001A56FE"/>
    <w:rsid w:val="001B6CED"/>
    <w:rsid w:val="001D573A"/>
    <w:rsid w:val="002021CA"/>
    <w:rsid w:val="0020358B"/>
    <w:rsid w:val="0021298E"/>
    <w:rsid w:val="00217960"/>
    <w:rsid w:val="00247A25"/>
    <w:rsid w:val="002E6F0D"/>
    <w:rsid w:val="002F1244"/>
    <w:rsid w:val="00321B46"/>
    <w:rsid w:val="0034735E"/>
    <w:rsid w:val="003635AE"/>
    <w:rsid w:val="003A319A"/>
    <w:rsid w:val="003A3E30"/>
    <w:rsid w:val="003E2A4E"/>
    <w:rsid w:val="00402359"/>
    <w:rsid w:val="004050C4"/>
    <w:rsid w:val="00440F46"/>
    <w:rsid w:val="00447AFC"/>
    <w:rsid w:val="00447E78"/>
    <w:rsid w:val="00487706"/>
    <w:rsid w:val="00496D86"/>
    <w:rsid w:val="004B2735"/>
    <w:rsid w:val="004C36AE"/>
    <w:rsid w:val="004F6559"/>
    <w:rsid w:val="005067B9"/>
    <w:rsid w:val="00550C07"/>
    <w:rsid w:val="0057196A"/>
    <w:rsid w:val="00575846"/>
    <w:rsid w:val="005C6920"/>
    <w:rsid w:val="005C77DA"/>
    <w:rsid w:val="005D4EF6"/>
    <w:rsid w:val="005E7A57"/>
    <w:rsid w:val="005F4F90"/>
    <w:rsid w:val="0064562B"/>
    <w:rsid w:val="0066581B"/>
    <w:rsid w:val="00666AF1"/>
    <w:rsid w:val="00675F1E"/>
    <w:rsid w:val="00677765"/>
    <w:rsid w:val="00695057"/>
    <w:rsid w:val="006C312D"/>
    <w:rsid w:val="006E7B0F"/>
    <w:rsid w:val="006F0058"/>
    <w:rsid w:val="00700ED0"/>
    <w:rsid w:val="007268FC"/>
    <w:rsid w:val="00741107"/>
    <w:rsid w:val="00744D72"/>
    <w:rsid w:val="00755D18"/>
    <w:rsid w:val="007733FA"/>
    <w:rsid w:val="00792299"/>
    <w:rsid w:val="007B52AD"/>
    <w:rsid w:val="007B7AF1"/>
    <w:rsid w:val="007D1F45"/>
    <w:rsid w:val="0081280D"/>
    <w:rsid w:val="008266B8"/>
    <w:rsid w:val="008344F0"/>
    <w:rsid w:val="00834A51"/>
    <w:rsid w:val="00837A9D"/>
    <w:rsid w:val="00840C10"/>
    <w:rsid w:val="00841570"/>
    <w:rsid w:val="008555BC"/>
    <w:rsid w:val="00856DD7"/>
    <w:rsid w:val="00863921"/>
    <w:rsid w:val="0087084B"/>
    <w:rsid w:val="00873B71"/>
    <w:rsid w:val="008C27FC"/>
    <w:rsid w:val="008C73E3"/>
    <w:rsid w:val="009015EF"/>
    <w:rsid w:val="00957220"/>
    <w:rsid w:val="00986094"/>
    <w:rsid w:val="009A54C0"/>
    <w:rsid w:val="009E7F3C"/>
    <w:rsid w:val="009F2432"/>
    <w:rsid w:val="00A914AD"/>
    <w:rsid w:val="00AC2747"/>
    <w:rsid w:val="00AD0B7E"/>
    <w:rsid w:val="00AD4089"/>
    <w:rsid w:val="00AD5569"/>
    <w:rsid w:val="00AE7697"/>
    <w:rsid w:val="00B23B3C"/>
    <w:rsid w:val="00B33387"/>
    <w:rsid w:val="00B367AD"/>
    <w:rsid w:val="00B717E8"/>
    <w:rsid w:val="00B72269"/>
    <w:rsid w:val="00BA0FA7"/>
    <w:rsid w:val="00BC6593"/>
    <w:rsid w:val="00C02317"/>
    <w:rsid w:val="00C067B8"/>
    <w:rsid w:val="00C25495"/>
    <w:rsid w:val="00C323C7"/>
    <w:rsid w:val="00C51CA2"/>
    <w:rsid w:val="00C57B96"/>
    <w:rsid w:val="00C65A6C"/>
    <w:rsid w:val="00C75B44"/>
    <w:rsid w:val="00CB79CC"/>
    <w:rsid w:val="00CF5F01"/>
    <w:rsid w:val="00D1528B"/>
    <w:rsid w:val="00D341C0"/>
    <w:rsid w:val="00D97F71"/>
    <w:rsid w:val="00DB44B1"/>
    <w:rsid w:val="00DD2363"/>
    <w:rsid w:val="00DF456C"/>
    <w:rsid w:val="00E45FEF"/>
    <w:rsid w:val="00E50C2C"/>
    <w:rsid w:val="00E60E96"/>
    <w:rsid w:val="00EA5CCB"/>
    <w:rsid w:val="00EB5E30"/>
    <w:rsid w:val="00EE1CD5"/>
    <w:rsid w:val="00EF081D"/>
    <w:rsid w:val="00F06B32"/>
    <w:rsid w:val="00F440B3"/>
    <w:rsid w:val="00F7456F"/>
    <w:rsid w:val="00FD2048"/>
    <w:rsid w:val="00FD7448"/>
    <w:rsid w:val="040EED63"/>
    <w:rsid w:val="0614F152"/>
    <w:rsid w:val="0D07B8C3"/>
    <w:rsid w:val="16EA10DB"/>
    <w:rsid w:val="28702DF5"/>
    <w:rsid w:val="2B86F51F"/>
    <w:rsid w:val="3E2CAC3D"/>
    <w:rsid w:val="4FF2C453"/>
    <w:rsid w:val="60B6366B"/>
    <w:rsid w:val="7940720E"/>
    <w:rsid w:val="7FA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222"/>
  <w15:chartTrackingRefBased/>
  <w15:docId w15:val="{0DDA4DE2-E8B4-4EF5-B652-30A7D61F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9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7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Colored Bullets,Bullets,Evidence on Demand bullet points,CEIL PEAKS bullet points,Scriptoria bullet points,Listenabsatz a),List Paragraph 1,List-Bulleted,BULLET Liste,Bullet,AFSN List Paragraph,Citation List,Resume Title"/>
    <w:basedOn w:val="Normal"/>
    <w:link w:val="PrrafodelistaCar"/>
    <w:uiPriority w:val="34"/>
    <w:qFormat/>
    <w:rsid w:val="00837A9D"/>
    <w:pPr>
      <w:ind w:left="720"/>
      <w:contextualSpacing/>
    </w:pPr>
  </w:style>
  <w:style w:type="character" w:customStyle="1" w:styleId="PrrafodelistaCar">
    <w:name w:val="Párrafo de lista Car"/>
    <w:aliases w:val="Paragraph Car,Colored Bullets Car,Bullets Car,Evidence on Demand bullet points Car,CEIL PEAKS bullet points Car,Scriptoria bullet points Car,Listenabsatz a) Car,List Paragraph 1 Car,List-Bulleted Car,BULLET Liste Car,Bullet Car"/>
    <w:link w:val="Prrafodelista"/>
    <w:uiPriority w:val="34"/>
    <w:rsid w:val="00837A9D"/>
  </w:style>
  <w:style w:type="table" w:styleId="Tablaconcuadrcula">
    <w:name w:val="Table Grid"/>
    <w:basedOn w:val="Tablanormal"/>
    <w:uiPriority w:val="39"/>
    <w:rsid w:val="00837A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56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56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56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56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56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44B1"/>
    <w:pPr>
      <w:spacing w:after="0" w:line="240" w:lineRule="auto"/>
    </w:pPr>
  </w:style>
  <w:style w:type="paragraph" w:styleId="Sinespaciado">
    <w:name w:val="No Spacing"/>
    <w:link w:val="SinespaciadoCar"/>
    <w:uiPriority w:val="1"/>
    <w:qFormat/>
    <w:rsid w:val="009A54C0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54C0"/>
    <w:rPr>
      <w:rFonts w:eastAsiaTheme="minorEastAsia"/>
      <w:lang w:eastAsia="es-BO"/>
    </w:rPr>
  </w:style>
  <w:style w:type="character" w:customStyle="1" w:styleId="normaltextrun">
    <w:name w:val="normaltextrun"/>
    <w:basedOn w:val="Fuentedeprrafopredeter"/>
    <w:rsid w:val="003635AE"/>
  </w:style>
  <w:style w:type="character" w:customStyle="1" w:styleId="Ttulo3Car">
    <w:name w:val="Título 3 Car"/>
    <w:basedOn w:val="Fuentedeprrafopredeter"/>
    <w:link w:val="Ttulo3"/>
    <w:uiPriority w:val="9"/>
    <w:rsid w:val="009E7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C2C"/>
  </w:style>
  <w:style w:type="paragraph" w:styleId="Piedepgina">
    <w:name w:val="footer"/>
    <w:basedOn w:val="Normal"/>
    <w:link w:val="PiedepginaCar"/>
    <w:uiPriority w:val="99"/>
    <w:unhideWhenUsed/>
    <w:rsid w:val="00E50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C2C"/>
  </w:style>
  <w:style w:type="paragraph" w:styleId="Textodeglobo">
    <w:name w:val="Balloon Text"/>
    <w:basedOn w:val="Normal"/>
    <w:link w:val="TextodegloboCar"/>
    <w:uiPriority w:val="99"/>
    <w:semiHidden/>
    <w:unhideWhenUsed/>
    <w:rsid w:val="005C69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2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F655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0C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0C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0C1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C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86bac-5231-4927-ab49-67116574a62e">
      <Terms xmlns="http://schemas.microsoft.com/office/infopath/2007/PartnerControls"/>
    </lcf76f155ced4ddcb4097134ff3c332f>
    <TaxCatchAll xmlns="2f5f6eb6-ef45-4cc7-acd1-315704ade2e7" xsi:nil="true"/>
    <SharedWithUsers xmlns="2e93361f-4daf-4b00-bf58-60bcc060633d">
      <UserInfo>
        <DisplayName>Felix Rodriguez Verastegui</DisplayName>
        <AccountId>26</AccountId>
        <AccountType/>
      </UserInfo>
      <UserInfo>
        <DisplayName>Javier Aguilera Alcon</DisplayName>
        <AccountId>225</AccountId>
        <AccountType/>
      </UserInfo>
      <UserInfo>
        <DisplayName>Ariel Miranda</DisplayName>
        <AccountId>22</AccountId>
        <AccountType/>
      </UserInfo>
      <UserInfo>
        <DisplayName>Sandra Escalera</DisplayName>
        <AccountId>18</AccountId>
        <AccountType/>
      </UserInfo>
      <UserInfo>
        <DisplayName>Rosio Tarraga</DisplayName>
        <AccountId>13</AccountId>
        <AccountType/>
      </UserInfo>
      <UserInfo>
        <DisplayName>Roberto Jimenez Espinal</DisplayName>
        <AccountId>16</AccountId>
        <AccountType/>
      </UserInfo>
      <UserInfo>
        <DisplayName>Franz Miralles</DisplayName>
        <AccountId>15</AccountId>
        <AccountType/>
      </UserInfo>
      <UserInfo>
        <DisplayName>Sandra Nisttahusz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F78BA218D82C498D4D8F351A4131EF" ma:contentTypeVersion="17" ma:contentTypeDescription="Crear nuevo documento." ma:contentTypeScope="" ma:versionID="ba85853649395fffcc1857365374d9cf">
  <xsd:schema xmlns:xsd="http://www.w3.org/2001/XMLSchema" xmlns:xs="http://www.w3.org/2001/XMLSchema" xmlns:p="http://schemas.microsoft.com/office/2006/metadata/properties" xmlns:ns2="07586bac-5231-4927-ab49-67116574a62e" xmlns:ns3="2e93361f-4daf-4b00-bf58-60bcc060633d" xmlns:ns4="2f5f6eb6-ef45-4cc7-acd1-315704ade2e7" targetNamespace="http://schemas.microsoft.com/office/2006/metadata/properties" ma:root="true" ma:fieldsID="76874b0d0c49f598be6bc5817d911cfd" ns2:_="" ns3:_="" ns4:_="">
    <xsd:import namespace="07586bac-5231-4927-ab49-67116574a62e"/>
    <xsd:import namespace="2e93361f-4daf-4b00-bf58-60bcc060633d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6bac-5231-4927-ab49-67116574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361f-4daf-4b00-bf58-60bcc060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cdd4f7-c1bc-4eb0-9830-fc9c506c3cbb}" ma:internalName="TaxCatchAll" ma:showField="CatchAllData" ma:web="2e93361f-4daf-4b00-bf58-60bcc060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BB7D8-59F2-4BF0-AB25-26A95620C6C8}">
  <ds:schemaRefs>
    <ds:schemaRef ds:uri="http://schemas.microsoft.com/office/2006/metadata/properties"/>
    <ds:schemaRef ds:uri="http://schemas.microsoft.com/office/infopath/2007/PartnerControls"/>
    <ds:schemaRef ds:uri="07586bac-5231-4927-ab49-67116574a62e"/>
    <ds:schemaRef ds:uri="2f5f6eb6-ef45-4cc7-acd1-315704ade2e7"/>
    <ds:schemaRef ds:uri="2e93361f-4daf-4b00-bf58-60bcc060633d"/>
  </ds:schemaRefs>
</ds:datastoreItem>
</file>

<file path=customXml/itemProps2.xml><?xml version="1.0" encoding="utf-8"?>
<ds:datastoreItem xmlns:ds="http://schemas.openxmlformats.org/officeDocument/2006/customXml" ds:itemID="{5481C775-8F01-44F9-AF03-8C286C287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9BC1F-9293-4CCB-920F-EDF289CD9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86bac-5231-4927-ab49-67116574a62e"/>
    <ds:schemaRef ds:uri="2e93361f-4daf-4b00-bf58-60bcc060633d"/>
    <ds:schemaRef ds:uri="2f5f6eb6-ef45-4cc7-acd1-315704ade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B3DBB-34BA-4F84-9031-578AFB27A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Saravia</dc:creator>
  <cp:keywords/>
  <dc:description/>
  <cp:lastModifiedBy>Marcelo Alvarez Ascarrunz</cp:lastModifiedBy>
  <cp:revision>2</cp:revision>
  <cp:lastPrinted>2023-08-03T22:44:00Z</cp:lastPrinted>
  <dcterms:created xsi:type="dcterms:W3CDTF">2023-08-12T18:21:00Z</dcterms:created>
  <dcterms:modified xsi:type="dcterms:W3CDTF">2023-08-12T18:21:00Z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0x0101005FF78BA218D82C498D4D8F351A4131EF</vt:lpwstr>
  </property>
  <property fmtid="{D5CDD505-2E9C-101B-9397-08002B2CF9AE}" pid="3" name="MediaServiceImageTags">
    <vt:lpwstr/>
  </property>
</Properties>
</file>