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98" w:type="dxa"/>
        <w:jc w:val="center"/>
        <w:tblLook w:val="04A0" w:firstRow="1" w:lastRow="0" w:firstColumn="1" w:lastColumn="0" w:noHBand="0" w:noVBand="1"/>
      </w:tblPr>
      <w:tblGrid>
        <w:gridCol w:w="2012"/>
        <w:gridCol w:w="2715"/>
        <w:gridCol w:w="2214"/>
        <w:gridCol w:w="3057"/>
      </w:tblGrid>
      <w:tr w:rsidR="00837A9D" w:rsidRPr="0060706E" w14:paraId="12D5DF93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8B8EF2" w14:textId="2FCDDF30" w:rsidR="00837A9D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Proyecto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F77F27" w14:textId="5AC6923F" w:rsidR="00837A9D" w:rsidRPr="00C25495" w:rsidRDefault="00BB7BF6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Mercados Inclusivos</w:t>
            </w:r>
          </w:p>
        </w:tc>
      </w:tr>
      <w:tr w:rsidR="00BB7BF6" w:rsidRPr="0060706E" w14:paraId="218BFB44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03217A" w14:textId="11E3C581" w:rsidR="00BB7BF6" w:rsidRPr="00677765" w:rsidRDefault="00BB7BF6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Comp</w:t>
            </w:r>
            <w:r>
              <w:rPr>
                <w:b/>
                <w:color w:val="3B8493"/>
                <w:sz w:val="20"/>
                <w:szCs w:val="20"/>
                <w:lang w:val="es-US"/>
              </w:rPr>
              <w:t>o</w:t>
            </w: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nente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27F919" w14:textId="1C439B2D" w:rsidR="00BB7BF6" w:rsidRPr="00C25495" w:rsidRDefault="00B02CC6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6D86">
              <w:rPr>
                <w:bCs/>
                <w:sz w:val="20"/>
                <w:szCs w:val="20"/>
              </w:rPr>
              <w:t>Acceso a servicios financieros</w:t>
            </w:r>
          </w:p>
        </w:tc>
      </w:tr>
      <w:tr w:rsidR="00837A9D" w:rsidRPr="0060706E" w14:paraId="768A6DF9" w14:textId="77777777" w:rsidTr="00631816">
        <w:trPr>
          <w:trHeight w:val="4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F9B31A" w14:textId="069A9A99" w:rsidR="00837A9D" w:rsidRPr="00677765" w:rsidRDefault="00C57B96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 </w:t>
            </w:r>
            <w:r w:rsidR="00496D86"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Nombre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7967A8" w14:textId="45EA215D" w:rsidR="00837A9D" w:rsidRPr="00706036" w:rsidRDefault="00706036" w:rsidP="009052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MICROSEGUROS INCLUSIVOS</w:t>
            </w:r>
          </w:p>
        </w:tc>
      </w:tr>
      <w:tr w:rsidR="00837A9D" w:rsidRPr="0060706E" w14:paraId="732A222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9D069" w14:textId="6DCE83C4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2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Ubicación/región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8AD15CE" w14:textId="7D207E06" w:rsidR="00741107" w:rsidRPr="000E3D7E" w:rsidRDefault="00706036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</w:rPr>
              <w:t xml:space="preserve">Nacional </w:t>
            </w:r>
          </w:p>
        </w:tc>
      </w:tr>
      <w:tr w:rsidR="00837A9D" w:rsidRPr="0060706E" w14:paraId="25C5DD9A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26D135A" w14:textId="0B3350D6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3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Complejo/rubros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8C2DCD" w14:textId="35AFBA64" w:rsidR="00837A9D" w:rsidRPr="000E3D7E" w:rsidRDefault="00B02CC6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</w:rPr>
              <w:t>Todos los rubros priorizados en MI</w:t>
            </w:r>
          </w:p>
        </w:tc>
      </w:tr>
      <w:tr w:rsidR="00837A9D" w:rsidRPr="0060706E" w14:paraId="79A21F0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B144AD" w14:textId="7CFEF65E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4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Grupo meta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A46ACC" w14:textId="3F05E52A" w:rsidR="00837A9D" w:rsidRPr="000E3D7E" w:rsidRDefault="00B02CC6" w:rsidP="000E3D7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</w:rPr>
              <w:t>Hombres y mujeres en zonas rurales</w:t>
            </w:r>
          </w:p>
        </w:tc>
      </w:tr>
      <w:tr w:rsidR="00837A9D" w:rsidRPr="0060706E" w14:paraId="3D527051" w14:textId="77777777" w:rsidTr="005C6920">
        <w:trPr>
          <w:trHeight w:val="142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8D2064" w14:textId="6A2E4C95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5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7940720E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Actores del sistema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2906EDE" w14:textId="77777777" w:rsidR="00706036" w:rsidRPr="000E3D7E" w:rsidRDefault="00706036" w:rsidP="00706036">
            <w:pPr>
              <w:pStyle w:val="Prrafodelista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</w:rPr>
              <w:t>Autoridad de Fiscalización y Control de Pensiones y Seguros APS</w:t>
            </w:r>
          </w:p>
          <w:p w14:paraId="49FA020E" w14:textId="77777777" w:rsidR="00706036" w:rsidRPr="000E3D7E" w:rsidRDefault="00706036" w:rsidP="00706036">
            <w:pPr>
              <w:pStyle w:val="Prrafodelista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</w:rPr>
              <w:t>Actores Ancla</w:t>
            </w:r>
          </w:p>
          <w:p w14:paraId="172DB0E6" w14:textId="77777777" w:rsidR="00706036" w:rsidRPr="000E3D7E" w:rsidRDefault="00706036" w:rsidP="00706036">
            <w:pPr>
              <w:pStyle w:val="Prrafodelista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</w:rPr>
              <w:t>Asociaciones de productores</w:t>
            </w:r>
          </w:p>
          <w:p w14:paraId="4EE82AEA" w14:textId="77777777" w:rsidR="00706036" w:rsidRPr="000E3D7E" w:rsidRDefault="00706036" w:rsidP="00706036">
            <w:pPr>
              <w:pStyle w:val="Prrafodelista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</w:rPr>
              <w:t>Entidades de Intermediación Financiera</w:t>
            </w:r>
          </w:p>
          <w:p w14:paraId="3BC33829" w14:textId="77777777" w:rsidR="00706036" w:rsidRPr="000E3D7E" w:rsidRDefault="00706036" w:rsidP="00706036">
            <w:pPr>
              <w:pStyle w:val="Prrafodelista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</w:rPr>
              <w:t>Compañías aseguradoras</w:t>
            </w:r>
          </w:p>
          <w:p w14:paraId="4B4E5EFA" w14:textId="77777777" w:rsidR="00706036" w:rsidRPr="000E3D7E" w:rsidRDefault="00706036" w:rsidP="00706036">
            <w:pPr>
              <w:pStyle w:val="Prrafodelista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</w:rPr>
              <w:t>Corredores de seguros</w:t>
            </w:r>
          </w:p>
          <w:p w14:paraId="189E6DBF" w14:textId="77777777" w:rsidR="00706036" w:rsidRPr="000E3D7E" w:rsidRDefault="00706036" w:rsidP="00706036">
            <w:pPr>
              <w:pStyle w:val="Prrafodelista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</w:rPr>
              <w:t>Canales locales de venta de seguros</w:t>
            </w:r>
          </w:p>
          <w:p w14:paraId="10E4F276" w14:textId="77777777" w:rsidR="00706036" w:rsidRPr="000E3D7E" w:rsidRDefault="00706036" w:rsidP="00706036">
            <w:pPr>
              <w:pStyle w:val="Prrafodelista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</w:rPr>
              <w:t>GAM</w:t>
            </w:r>
          </w:p>
          <w:p w14:paraId="1B0581D4" w14:textId="3A364394" w:rsidR="00837A9D" w:rsidRPr="000E3D7E" w:rsidRDefault="00706036" w:rsidP="00706036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</w:rPr>
              <w:t>Universidades o institutos de formación</w:t>
            </w:r>
          </w:p>
        </w:tc>
      </w:tr>
      <w:tr w:rsidR="00837A9D" w:rsidRPr="0060706E" w14:paraId="6FD149CA" w14:textId="77777777" w:rsidTr="005C6920">
        <w:trPr>
          <w:trHeight w:val="15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ABA626" w14:textId="4A429C29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6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0614F152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Problemas/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Cuellos de botella</w:t>
            </w:r>
          </w:p>
          <w:p w14:paraId="3A11C7A9" w14:textId="77777777" w:rsidR="00837A9D" w:rsidRPr="00677765" w:rsidRDefault="00837A9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3DD71CC" w14:textId="77777777" w:rsidR="00706036" w:rsidRPr="000E3D7E" w:rsidRDefault="00706036" w:rsidP="0070603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Falta cultura de seguros</w:t>
            </w:r>
          </w:p>
          <w:p w14:paraId="41637D5F" w14:textId="77777777" w:rsidR="00706036" w:rsidRPr="000E3D7E" w:rsidRDefault="00706036" w:rsidP="0070603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Falta de confianza en los seguros por parte de la población rural</w:t>
            </w:r>
          </w:p>
          <w:p w14:paraId="20CD6C52" w14:textId="77777777" w:rsidR="00706036" w:rsidRPr="000E3D7E" w:rsidRDefault="00706036" w:rsidP="0070603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Desconocimiento del público objetivo por parte de las aseguradoras para diseñar seguros adecuados a las necesidades de protección de la población rural.</w:t>
            </w:r>
          </w:p>
          <w:p w14:paraId="03C15238" w14:textId="77777777" w:rsidR="00706036" w:rsidRPr="000E3D7E" w:rsidRDefault="00706036" w:rsidP="0070603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Seguro considerado como gasto y no como inversión</w:t>
            </w:r>
          </w:p>
          <w:p w14:paraId="2A7BEC50" w14:textId="77777777" w:rsidR="00706036" w:rsidRPr="000E3D7E" w:rsidRDefault="00706036" w:rsidP="0070603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Expectativa de generación de negocio de rápido retorno en aseguradoras y </w:t>
            </w:r>
            <w:proofErr w:type="spellStart"/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brókers</w:t>
            </w:r>
            <w:proofErr w:type="spellEnd"/>
          </w:p>
          <w:p w14:paraId="6F2574DA" w14:textId="77777777" w:rsidR="00706036" w:rsidRPr="000E3D7E" w:rsidRDefault="00706036" w:rsidP="0070603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Dificultad para realizar inversiones para masificar los productos</w:t>
            </w:r>
          </w:p>
          <w:p w14:paraId="0B00CD74" w14:textId="77777777" w:rsidR="00706036" w:rsidRPr="000E3D7E" w:rsidRDefault="00706036" w:rsidP="0070603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Normativa no exige educación financiera/sensibilización a las Aseguradoras</w:t>
            </w:r>
          </w:p>
          <w:p w14:paraId="38D6912A" w14:textId="77777777" w:rsidR="00706036" w:rsidRPr="000E3D7E" w:rsidRDefault="00706036" w:rsidP="0070603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Necesidad de nuevas formas de sensibilización/promoción/venta de </w:t>
            </w:r>
            <w:proofErr w:type="spellStart"/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microseguros</w:t>
            </w:r>
            <w:proofErr w:type="spellEnd"/>
          </w:p>
          <w:p w14:paraId="3D25D7B7" w14:textId="1A8BD0AD" w:rsidR="00837A9D" w:rsidRPr="000E3D7E" w:rsidRDefault="00706036" w:rsidP="0070603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Falta de normativa para uso de medios digitales en la comercialización de </w:t>
            </w:r>
            <w:proofErr w:type="spellStart"/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microseguros</w:t>
            </w:r>
            <w:proofErr w:type="spellEnd"/>
          </w:p>
        </w:tc>
      </w:tr>
      <w:tr w:rsidR="00706036" w:rsidRPr="0060706E" w14:paraId="06F61B31" w14:textId="77777777" w:rsidTr="002467F6">
        <w:trPr>
          <w:trHeight w:val="353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F547CB" w14:textId="24CE025B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7. Oportunidades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12CA25F" w14:textId="77777777" w:rsidR="00706036" w:rsidRPr="000E3D7E" w:rsidRDefault="00706036" w:rsidP="00706036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Existen actores ancla ya sensibilizados sobre la importancia de contar con un seguro</w:t>
            </w:r>
          </w:p>
          <w:p w14:paraId="785DC44A" w14:textId="77777777" w:rsidR="00706036" w:rsidRPr="000E3D7E" w:rsidRDefault="00706036" w:rsidP="00706036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Existen opciones de habilitar nuevos canales de promoción y venta.</w:t>
            </w:r>
          </w:p>
          <w:p w14:paraId="40404A69" w14:textId="77777777" w:rsidR="00706036" w:rsidRPr="000E3D7E" w:rsidRDefault="00706036" w:rsidP="00706036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El COVID-19 generó necesidad/sensación de proteger la vida y la salud.</w:t>
            </w:r>
          </w:p>
          <w:p w14:paraId="7D737DF9" w14:textId="77777777" w:rsidR="00706036" w:rsidRPr="000E3D7E" w:rsidRDefault="00706036" w:rsidP="00706036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Se están abriendo opciones de habilitar alternativas digitales para mejorar el acceso y procesos de reclamo de </w:t>
            </w:r>
            <w:proofErr w:type="spellStart"/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microseguros</w:t>
            </w:r>
            <w:proofErr w:type="spellEnd"/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.</w:t>
            </w:r>
          </w:p>
          <w:p w14:paraId="77D023B0" w14:textId="52B4C5DF" w:rsidR="00706036" w:rsidRPr="000E3D7E" w:rsidRDefault="00706036" w:rsidP="007060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Proyectos públicos /privados que tienen un enfoque social y económico interesados en generar inclusión financiera y acceso a seguros.</w:t>
            </w:r>
          </w:p>
        </w:tc>
      </w:tr>
      <w:tr w:rsidR="00706036" w:rsidRPr="0060706E" w14:paraId="184A2700" w14:textId="77777777" w:rsidTr="000E3D7E">
        <w:trPr>
          <w:trHeight w:val="778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5391D" w14:textId="43356793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8. Soluciones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1EB2EA9" w14:textId="77777777" w:rsidR="00706036" w:rsidRPr="000E3D7E" w:rsidRDefault="00706036" w:rsidP="000E3D7E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Escalamiento de </w:t>
            </w:r>
            <w:proofErr w:type="spellStart"/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microseguros</w:t>
            </w:r>
            <w:proofErr w:type="spellEnd"/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 mediante más y nuevos actores ancla y canales de venta alternativos.</w:t>
            </w:r>
          </w:p>
          <w:p w14:paraId="666A0DB7" w14:textId="77777777" w:rsidR="00706036" w:rsidRPr="000E3D7E" w:rsidRDefault="00706036" w:rsidP="000E3D7E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Facilitar el acceso a seguros mediante uso de tecnología</w:t>
            </w:r>
          </w:p>
          <w:p w14:paraId="0D9D1D4B" w14:textId="77777777" w:rsidR="00706036" w:rsidRPr="000E3D7E" w:rsidRDefault="00706036" w:rsidP="000E3D7E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Mejorar la cultura de seguros en la población rural</w:t>
            </w:r>
          </w:p>
          <w:p w14:paraId="5F798ABB" w14:textId="77777777" w:rsidR="00706036" w:rsidRPr="000E3D7E" w:rsidRDefault="00706036" w:rsidP="000E3D7E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lastRenderedPageBreak/>
              <w:t>Reducir la vulnerabilidad de las UPF ante eventos inesperados (fallecimiento, accidente, problemas de salud)</w:t>
            </w:r>
          </w:p>
          <w:p w14:paraId="5B5CF5AF" w14:textId="54CC0285" w:rsidR="00706036" w:rsidRPr="000E3D7E" w:rsidRDefault="00706036" w:rsidP="000E3D7E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Diseño de seguros inclusivos ligado al crédito</w:t>
            </w:r>
          </w:p>
        </w:tc>
      </w:tr>
      <w:tr w:rsidR="00706036" w:rsidRPr="0060706E" w14:paraId="5BE08046" w14:textId="77777777" w:rsidTr="000E3D7E">
        <w:trPr>
          <w:trHeight w:val="105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4" w:space="0" w:color="3B8493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1FFD07" w14:textId="7A0B2532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lastRenderedPageBreak/>
              <w:t>9. Descripción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15A1088" w14:textId="77777777" w:rsidR="00706036" w:rsidRPr="000E3D7E" w:rsidRDefault="00706036" w:rsidP="000E3D7E">
            <w:p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El objetivo de la intervención es facilitar a productores rurales, el acceso a </w:t>
            </w:r>
            <w:proofErr w:type="spellStart"/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microseguros</w:t>
            </w:r>
            <w:proofErr w:type="spellEnd"/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/seguros inclusivos a partir de acciones, tanto operativas como estratégicas, que permitan mejorar su resiliencia económica.</w:t>
            </w:r>
          </w:p>
          <w:p w14:paraId="57391296" w14:textId="77777777" w:rsidR="00706036" w:rsidRPr="000E3D7E" w:rsidRDefault="00706036" w:rsidP="000E3D7E">
            <w:p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La estrategia se enfoca en mejorar la relación entre la oferta y demanda de </w:t>
            </w:r>
            <w:proofErr w:type="spellStart"/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microseguros</w:t>
            </w:r>
            <w:proofErr w:type="spellEnd"/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/seguros inclusivos y dinamizar el mercado para que la inclusión financiera sea una realidad en el área rural del país. Los actores de mercado (compañías de seguros, entidades financieras, brókeres y el regulador, entre los principales) están comenzando a interesarse en atender a un mercado emergente a través de formas y canales innovadores que les permite mantener ciertas expectativas de generar líneas de negocios interesantes. Evidentemente, la participación de instituciones como: gobiernos municipales, cooperativas, asociaciones e instituciones privadas, ha demostrado ser clave para contribuir en el proceso y sensibilizar a esta población.</w:t>
            </w:r>
          </w:p>
          <w:p w14:paraId="438AF4E2" w14:textId="77777777" w:rsidR="00706036" w:rsidRPr="000E3D7E" w:rsidRDefault="00706036" w:rsidP="000E3D7E">
            <w:p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  <w:p w14:paraId="44E16DA0" w14:textId="77777777" w:rsidR="00706036" w:rsidRPr="000E3D7E" w:rsidRDefault="00706036" w:rsidP="000E3D7E">
            <w:p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El modelo de intervención 1, es de aplicación inmediata y por tanto el más útil para implementar durante el primer semestre del Proyecto. Se centra en dar continuidad a la fase anterior, donde se diseñaron, junto a compañías aseguradoras y brókeres, seguros inclusivos adecuados a la población objetivo que son de fácil aseguramiento (en torno a los procesos utilizados), de fácil pago (a través de una transferencia bancaria).  </w:t>
            </w:r>
          </w:p>
          <w:p w14:paraId="17375FB4" w14:textId="77777777" w:rsidR="00706036" w:rsidRPr="000E3D7E" w:rsidRDefault="00706036" w:rsidP="000E3D7E">
            <w:p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Para implementar este modelo se tomará contacto con actores ancla del Proyecto Mercados Rurales y con nuevos actores de los territorios recientemente incorporados para iniciar un proceso de socialización a nivel de líderes o cabezas de sector, como por ejemplo la Cámara Agropecuaria del Oriente (CAO), con quienes ya se han iniciado las negociaciones. En una siguiente etapa se realiza el proceso de difusión e instrucción a </w:t>
            </w:r>
            <w:proofErr w:type="gramStart"/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productores y productoras</w:t>
            </w:r>
            <w:proofErr w:type="gramEnd"/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 para afiliarse al seguro. Una </w:t>
            </w:r>
            <w:proofErr w:type="spellStart"/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ve</w:t>
            </w:r>
            <w:proofErr w:type="spellEnd"/>
            <w:r w:rsidRPr="000E3D7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 se cuenta con las listas de los asegurados, se realiza el pago del seguro de manera grupal, se realiza la emisión de la póliza colectiva y la entrega de su certificado de asegurado o asegurada.</w:t>
            </w:r>
          </w:p>
          <w:p w14:paraId="425F484B" w14:textId="77777777" w:rsidR="00706036" w:rsidRPr="000E3D7E" w:rsidRDefault="00706036" w:rsidP="000E3D7E">
            <w:p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  <w:p w14:paraId="5C653F29" w14:textId="77777777" w:rsidR="00706036" w:rsidRPr="000E3D7E" w:rsidRDefault="00706036" w:rsidP="000E3D7E">
            <w:pPr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El modelo de intervención 2, tiene mayor complejidad en su implementación, sin embargo, su potencialidad de escalamiento es mayor. Consiste en aunar esfuerzos entre tres actores del mercado asegurador: la compañía aseguradora, el corredor de seguros y la entidad financiera (cooperativas de ahorro y crédito, entidades financieras de desarrollo o bancos), donde cada uno cumple una función importante en la cadena de valor de un seguro inclusivo.</w:t>
            </w:r>
          </w:p>
          <w:p w14:paraId="3334E089" w14:textId="77777777" w:rsidR="00706036" w:rsidRPr="000E3D7E" w:rsidRDefault="00706036" w:rsidP="000E3D7E">
            <w:pPr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El Proyecto, asesora a estos tres actores para generar un seguro que sea que responda a las necesidades de la población objetivo (clientes, socios de la EIF en sus agencias rurales). El bróker contribuye con el sistema (software) para que el proceso de aseguramiento sea eficiente y cumpla con las medidas de seguridad que tienen ambos, es decir actúa como nexo. Por último, se capacita al personal técnico de la EIF en venta de seguros y en las características del producto, ya que este personal hará el trabajo de socialización y promoción del seguro, además de la venta de éste. Muchos productos de seguros que se comercializan a través de EIF van ligados al crédito o al ahorro, lo que hace que la entidad financiera brinde servicios complementarios a sus clientes.</w:t>
            </w:r>
          </w:p>
          <w:p w14:paraId="0E96BD0B" w14:textId="77777777" w:rsidR="00706036" w:rsidRPr="000E3D7E" w:rsidRDefault="00706036" w:rsidP="000E3D7E">
            <w:pPr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Es un modelo importante para el escalamiento, sin embargo, tiene un tiempo de implementación de entre 6 a 24 meses.</w:t>
            </w:r>
          </w:p>
          <w:p w14:paraId="47DEF73C" w14:textId="77777777" w:rsidR="00706036" w:rsidRPr="000E3D7E" w:rsidRDefault="00706036" w:rsidP="000E3D7E">
            <w:pPr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</w:p>
          <w:p w14:paraId="4FBF8107" w14:textId="77777777" w:rsidR="00706036" w:rsidRPr="000E3D7E" w:rsidRDefault="00706036" w:rsidP="000E3D7E">
            <w:pPr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El modelo 3 de intervención para escalar los seguros inclusivos consiste en generar y diseñar productos de seguros inclusivos con: una aseguradora, una startup emprendedora o </w:t>
            </w:r>
            <w:proofErr w:type="spellStart"/>
            <w:proofErr w:type="gramStart"/>
            <w:r w:rsidRPr="000E3D7E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insurtech</w:t>
            </w:r>
            <w:proofErr w:type="spellEnd"/>
            <w:r w:rsidRPr="000E3D7E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 y</w:t>
            </w:r>
            <w:proofErr w:type="gramEnd"/>
            <w:r w:rsidRPr="000E3D7E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 xml:space="preserve"> un canal innovador (como por ejemplo agropecuarias, vendedores de insumos, radios, </w:t>
            </w:r>
            <w:r w:rsidRPr="000E3D7E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lastRenderedPageBreak/>
              <w:t>librerías, entre otros). Este modelo implica grandes desafíos, sin embargo, su potencial de escalamiento al usar la tecnología como medio de aseguramiento, es alto.</w:t>
            </w:r>
          </w:p>
          <w:p w14:paraId="778246BC" w14:textId="371B3276" w:rsidR="00706036" w:rsidRPr="000E3D7E" w:rsidRDefault="00706036" w:rsidP="000E3D7E">
            <w:pPr>
              <w:rPr>
                <w:rFonts w:asciiTheme="majorHAnsi" w:hAnsiTheme="majorHAnsi" w:cstheme="majorHAnsi"/>
                <w:sz w:val="20"/>
                <w:szCs w:val="20"/>
                <w:lang w:val="es-419"/>
              </w:rPr>
            </w:pPr>
            <w:r w:rsidRPr="000E3D7E">
              <w:rPr>
                <w:rFonts w:asciiTheme="majorHAnsi" w:hAnsiTheme="majorHAnsi" w:cstheme="majorHAnsi"/>
                <w:sz w:val="20"/>
                <w:szCs w:val="20"/>
                <w:lang w:val="es-419"/>
              </w:rPr>
              <w:t>Se requiere entre 8 a 24 meses para lograr su puesta en marcha, sin embargo, es la tendencia que están siguiendo los seguros en el mundo para ser más inclusivos.</w:t>
            </w:r>
          </w:p>
        </w:tc>
      </w:tr>
      <w:tr w:rsidR="00706036" w:rsidRPr="0060706E" w14:paraId="4148D7FE" w14:textId="77777777" w:rsidTr="005C6920">
        <w:trPr>
          <w:trHeight w:val="435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5DF83" w14:textId="0A5C8713" w:rsidR="00706036" w:rsidRPr="00677765" w:rsidRDefault="00706036" w:rsidP="00706036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lastRenderedPageBreak/>
              <w:t xml:space="preserve">10. Impactos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C7C7583" w14:textId="0B6C7B1E" w:rsidR="00706036" w:rsidRPr="00E45FEF" w:rsidRDefault="00706036" w:rsidP="00706036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G</w:t>
            </w: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RUPO META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6BB909F5" w14:textId="77777777" w:rsidR="00706036" w:rsidRPr="0034540C" w:rsidRDefault="00706036" w:rsidP="00706036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</w:rPr>
            </w:pPr>
            <w:r w:rsidRPr="0034540C"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</w:rPr>
              <w:t>Acceso</w:t>
            </w:r>
          </w:p>
          <w:p w14:paraId="6CC73826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Acceden a seguros inclusivos adecuados a sus necesidades de protección</w:t>
            </w:r>
          </w:p>
          <w:p w14:paraId="31C20117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Acceden de manera fácil, simple y asequible a seguros</w:t>
            </w:r>
          </w:p>
          <w:p w14:paraId="7AB0AFC9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Acceden a educación financiera y de seguros</w:t>
            </w:r>
          </w:p>
          <w:p w14:paraId="6754A974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Tienen mayor oportunidad de acceder a un crédito</w:t>
            </w:r>
          </w:p>
          <w:p w14:paraId="1151BCB2" w14:textId="77777777" w:rsidR="00706036" w:rsidRPr="0034540C" w:rsidRDefault="00706036" w:rsidP="0070603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6411ED82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 xml:space="preserve">Tienen mayor tranquilidad en su vida al tener un seguro que les da respaldo </w:t>
            </w:r>
          </w:p>
          <w:p w14:paraId="1ED17855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Mejoran sus conocimientos y experimentan los beneficios de contar con un seguro</w:t>
            </w:r>
          </w:p>
          <w:p w14:paraId="65022221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Mejora su relacionamiento con el mercado asegurador</w:t>
            </w:r>
          </w:p>
          <w:p w14:paraId="1DE4303F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Entorno familiar de hombres y mujeres resilientes frente a eventos de muerte y accidentes personales.</w:t>
            </w:r>
          </w:p>
          <w:p w14:paraId="561B95B6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Incremento de ventas de seguros y renovaciones.</w:t>
            </w:r>
          </w:p>
          <w:p w14:paraId="63576D29" w14:textId="77777777" w:rsidR="00706036" w:rsidRPr="0034540C" w:rsidRDefault="00706036" w:rsidP="0070603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Impacto</w:t>
            </w:r>
          </w:p>
          <w:p w14:paraId="518B9851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Incrementan su resiliencia económica</w:t>
            </w:r>
          </w:p>
          <w:p w14:paraId="735F2B99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Incrementa sus conocimientos y experiencia con herramientas financieras</w:t>
            </w:r>
          </w:p>
          <w:p w14:paraId="128EF390" w14:textId="77777777" w:rsidR="00706036" w:rsidRPr="00706036" w:rsidRDefault="00706036" w:rsidP="00706036">
            <w:pPr>
              <w:pStyle w:val="Default"/>
              <w:ind w:left="454"/>
              <w:jc w:val="both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  <w:p w14:paraId="7AAF158C" w14:textId="7F558870" w:rsidR="00706036" w:rsidRDefault="00706036" w:rsidP="00706036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</w:pPr>
            <w:r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ACTORES DEL SISTEMA</w:t>
            </w:r>
            <w:r w:rsidRPr="00E45FEF">
              <w:rPr>
                <w:rFonts w:asciiTheme="majorHAnsi" w:eastAsia="ヒラギノ角ゴ Pro W3" w:hAnsiTheme="majorHAnsi" w:cstheme="majorHAnsi"/>
                <w:b/>
                <w:bCs/>
                <w:color w:val="3B8493"/>
                <w:sz w:val="20"/>
                <w:szCs w:val="20"/>
              </w:rPr>
              <w:t>:</w:t>
            </w:r>
          </w:p>
          <w:p w14:paraId="200D2D52" w14:textId="77777777" w:rsidR="00706036" w:rsidRPr="0034540C" w:rsidRDefault="00706036" w:rsidP="0070603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5FF79D4F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Los actores ancla brindan un nuevo servicio a sus asociados (información y acceso a seguros)</w:t>
            </w:r>
          </w:p>
          <w:p w14:paraId="395AD1AA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Las compañías aseguradoras y brókeres conocen la potencialidad de este segmento de la población</w:t>
            </w:r>
          </w:p>
          <w:p w14:paraId="6C2A4B29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Las Entidades Financieras brindan nuevos servicios a sus clientes</w:t>
            </w:r>
          </w:p>
          <w:p w14:paraId="2D924D05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Nuevos canales de comercialización pueden generar nuevos servicios y por tanto nuevos ingresos (tiendas de barrio, comercializadoras de insumos agrícolas)</w:t>
            </w:r>
          </w:p>
          <w:p w14:paraId="60A18CA9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 xml:space="preserve">Capacidades instaladas en el área rural que faciliten la oferta y demanda por </w:t>
            </w:r>
            <w:proofErr w:type="spellStart"/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microseguros</w:t>
            </w:r>
            <w:proofErr w:type="spellEnd"/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54CC4FF" w14:textId="77777777" w:rsidR="00706036" w:rsidRPr="0034540C" w:rsidRDefault="00706036" w:rsidP="0070603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34540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Impacto</w:t>
            </w:r>
          </w:p>
          <w:p w14:paraId="5660F418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Se contribuye al desarrollo de seguros inclusivos en el país</w:t>
            </w:r>
          </w:p>
          <w:p w14:paraId="60811296" w14:textId="77777777" w:rsidR="00706036" w:rsidRPr="0070603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Se fomenta el crecimiento del mercado asegurador</w:t>
            </w:r>
          </w:p>
          <w:p w14:paraId="04A822B9" w14:textId="52B2E479" w:rsidR="00706036" w:rsidRPr="00631816" w:rsidRDefault="00706036" w:rsidP="00706036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06036">
              <w:rPr>
                <w:rFonts w:asciiTheme="majorHAnsi" w:hAnsiTheme="majorHAnsi" w:cstheme="majorHAnsi"/>
                <w:sz w:val="20"/>
                <w:szCs w:val="20"/>
              </w:rPr>
              <w:t>Se fortalece al sector productivo rural</w:t>
            </w:r>
          </w:p>
        </w:tc>
      </w:tr>
      <w:tr w:rsidR="00706036" w:rsidRPr="0060706E" w14:paraId="508D68AC" w14:textId="77777777" w:rsidTr="000E3D7E">
        <w:trPr>
          <w:trHeight w:val="175"/>
          <w:jc w:val="center"/>
        </w:trPr>
        <w:tc>
          <w:tcPr>
            <w:tcW w:w="2012" w:type="dxa"/>
            <w:vMerge w:val="restart"/>
            <w:tcBorders>
              <w:top w:val="single" w:sz="18" w:space="0" w:color="FFFFFF"/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65CB95" w14:textId="684929CD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11. Aspectos Transversales</w:t>
            </w: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17C7AD" w14:textId="77777777" w:rsidR="00706036" w:rsidRPr="00695057" w:rsidRDefault="00706036" w:rsidP="0070603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Empoderamiento de las mujeres</w:t>
            </w:r>
          </w:p>
        </w:tc>
        <w:tc>
          <w:tcPr>
            <w:tcW w:w="2214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542CE3" w14:textId="37C78BDC" w:rsidR="00706036" w:rsidRPr="00695057" w:rsidRDefault="00706036" w:rsidP="00706036">
            <w:pPr>
              <w:tabs>
                <w:tab w:val="left" w:pos="416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 xml:space="preserve">Cambio climático </w:t>
            </w:r>
          </w:p>
        </w:tc>
        <w:tc>
          <w:tcPr>
            <w:tcW w:w="3057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8" w:space="0" w:color="3B8493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98F8CB" w14:textId="31C718A8" w:rsidR="00706036" w:rsidRPr="00695057" w:rsidRDefault="00706036" w:rsidP="00706036">
            <w:pPr>
              <w:tabs>
                <w:tab w:val="left" w:pos="939"/>
                <w:tab w:val="center" w:pos="125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Gobernabilidad</w:t>
            </w:r>
          </w:p>
        </w:tc>
      </w:tr>
      <w:tr w:rsidR="00706036" w:rsidRPr="0060706E" w14:paraId="0D59D4EA" w14:textId="77777777" w:rsidTr="000E3D7E">
        <w:trPr>
          <w:trHeight w:val="1653"/>
          <w:jc w:val="center"/>
        </w:trPr>
        <w:tc>
          <w:tcPr>
            <w:tcW w:w="2012" w:type="dxa"/>
            <w:vMerge/>
            <w:tcBorders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A7B916" w14:textId="77777777" w:rsidR="00706036" w:rsidRPr="00677765" w:rsidRDefault="00706036" w:rsidP="00706036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2443A80" w14:textId="0C5E6FC0" w:rsidR="00706036" w:rsidRPr="000E3D7E" w:rsidRDefault="00706036" w:rsidP="00706036">
            <w:pPr>
              <w:pStyle w:val="Prrafodelista"/>
              <w:ind w:left="360"/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promueve el empoderamiento económico de las mujeres mejorando su resiliencia económica.</w:t>
            </w:r>
          </w:p>
        </w:tc>
        <w:tc>
          <w:tcPr>
            <w:tcW w:w="2214" w:type="dxa"/>
            <w:tcBorders>
              <w:top w:val="single" w:sz="8" w:space="0" w:color="3B8493"/>
              <w:left w:val="single" w:sz="4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E8523ED" w14:textId="682D09D7" w:rsidR="00706036" w:rsidRPr="000E3D7E" w:rsidRDefault="00706036" w:rsidP="00706036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Los seguros agropecuarios ayudan a las UPF a hacer frente a los efectos del cambio climático</w:t>
            </w:r>
          </w:p>
        </w:tc>
        <w:tc>
          <w:tcPr>
            <w:tcW w:w="3057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4FCEB0" w14:textId="77777777" w:rsidR="00706036" w:rsidRPr="000E3D7E" w:rsidRDefault="00706036" w:rsidP="00706036">
            <w:p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fortalece la gobernanza en asociaciones de productores.</w:t>
            </w:r>
          </w:p>
          <w:p w14:paraId="57CA7791" w14:textId="3AB904FD" w:rsidR="00706036" w:rsidRPr="000E3D7E" w:rsidRDefault="00706036" w:rsidP="00706036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0E3D7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promueve la consolidación de las empresas aseguradoras y otros canales de comercialización.</w:t>
            </w:r>
          </w:p>
        </w:tc>
      </w:tr>
    </w:tbl>
    <w:p w14:paraId="2E4B6651" w14:textId="77777777" w:rsidR="0064562B" w:rsidRDefault="0064562B" w:rsidP="008555BC"/>
    <w:sectPr w:rsidR="0064562B" w:rsidSect="0085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7" w:right="1701" w:bottom="1122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3B03" w14:textId="77777777" w:rsidR="00373720" w:rsidRDefault="00373720" w:rsidP="00E50C2C">
      <w:pPr>
        <w:spacing w:after="0" w:line="240" w:lineRule="auto"/>
      </w:pPr>
      <w:r>
        <w:separator/>
      </w:r>
    </w:p>
  </w:endnote>
  <w:endnote w:type="continuationSeparator" w:id="0">
    <w:p w14:paraId="7907C321" w14:textId="77777777" w:rsidR="00373720" w:rsidRDefault="00373720" w:rsidP="00E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426" w14:textId="77777777" w:rsidR="00700ED0" w:rsidRDefault="00700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81D" w14:textId="77777777" w:rsidR="00700ED0" w:rsidRDefault="00700E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A6" w14:textId="77777777" w:rsidR="00700ED0" w:rsidRDefault="00700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EFFD" w14:textId="77777777" w:rsidR="00373720" w:rsidRDefault="00373720" w:rsidP="00E50C2C">
      <w:pPr>
        <w:spacing w:after="0" w:line="240" w:lineRule="auto"/>
      </w:pPr>
      <w:r>
        <w:separator/>
      </w:r>
    </w:p>
  </w:footnote>
  <w:footnote w:type="continuationSeparator" w:id="0">
    <w:p w14:paraId="6359F425" w14:textId="77777777" w:rsidR="00373720" w:rsidRDefault="00373720" w:rsidP="00E5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F94" w14:textId="77777777" w:rsidR="00700ED0" w:rsidRDefault="00700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B72C" w14:textId="2FA42509" w:rsidR="00E50C2C" w:rsidRPr="00E50C2C" w:rsidRDefault="005E7A57" w:rsidP="00E50C2C">
    <w:pPr>
      <w:pStyle w:val="Encabezado"/>
      <w:ind w:left="-1701"/>
    </w:pPr>
    <w:r>
      <w:rPr>
        <w:noProof/>
      </w:rPr>
      <w:drawing>
        <wp:inline distT="0" distB="0" distL="0" distR="0" wp14:anchorId="472DA6CE" wp14:editId="03A8D5AA">
          <wp:extent cx="7582516" cy="14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147" w14:textId="77777777" w:rsidR="00700ED0" w:rsidRDefault="00700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B8"/>
    <w:multiLevelType w:val="multilevel"/>
    <w:tmpl w:val="F238F80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E65E6"/>
    <w:multiLevelType w:val="multilevel"/>
    <w:tmpl w:val="C1D499EA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B13DE3"/>
    <w:multiLevelType w:val="hybridMultilevel"/>
    <w:tmpl w:val="E5FA5FDA"/>
    <w:lvl w:ilvl="0" w:tplc="B6380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4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C0D"/>
    <w:multiLevelType w:val="hybridMultilevel"/>
    <w:tmpl w:val="AC54856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2C8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529DB"/>
    <w:multiLevelType w:val="multilevel"/>
    <w:tmpl w:val="64520B4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EE3184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E94020"/>
    <w:multiLevelType w:val="multilevel"/>
    <w:tmpl w:val="98BCE9C8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4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C8238D"/>
    <w:multiLevelType w:val="hybridMultilevel"/>
    <w:tmpl w:val="363879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FC2C0B"/>
    <w:multiLevelType w:val="hybridMultilevel"/>
    <w:tmpl w:val="1FCC57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10DAB"/>
    <w:multiLevelType w:val="hybridMultilevel"/>
    <w:tmpl w:val="2AD455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8EF"/>
    <w:multiLevelType w:val="hybridMultilevel"/>
    <w:tmpl w:val="FEDE4F66"/>
    <w:lvl w:ilvl="0" w:tplc="4F7498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4F47AF"/>
    <w:multiLevelType w:val="hybridMultilevel"/>
    <w:tmpl w:val="B00EBAD0"/>
    <w:lvl w:ilvl="0" w:tplc="31D6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C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0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2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6F9D"/>
    <w:multiLevelType w:val="hybridMultilevel"/>
    <w:tmpl w:val="64520B4C"/>
    <w:lvl w:ilvl="0" w:tplc="CA1E7E5A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310770"/>
    <w:multiLevelType w:val="hybridMultilevel"/>
    <w:tmpl w:val="F238F80A"/>
    <w:lvl w:ilvl="0" w:tplc="6F4EA0BC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765241"/>
    <w:multiLevelType w:val="hybridMultilevel"/>
    <w:tmpl w:val="9FD88A1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B0D67"/>
    <w:multiLevelType w:val="hybridMultilevel"/>
    <w:tmpl w:val="C1D499EA"/>
    <w:lvl w:ilvl="0" w:tplc="488EE6D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623A4C"/>
    <w:multiLevelType w:val="hybridMultilevel"/>
    <w:tmpl w:val="82B83D7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1010F"/>
    <w:multiLevelType w:val="hybridMultilevel"/>
    <w:tmpl w:val="7E9CB6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21529"/>
    <w:multiLevelType w:val="hybridMultilevel"/>
    <w:tmpl w:val="E1A4DC6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D5809"/>
    <w:multiLevelType w:val="hybridMultilevel"/>
    <w:tmpl w:val="30EC5B6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86D285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BBB527F"/>
    <w:multiLevelType w:val="hybridMultilevel"/>
    <w:tmpl w:val="0D060970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6A557D"/>
    <w:multiLevelType w:val="multilevel"/>
    <w:tmpl w:val="8F0428C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67024A7"/>
    <w:multiLevelType w:val="multilevel"/>
    <w:tmpl w:val="1D12B91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27C4711"/>
    <w:multiLevelType w:val="hybridMultilevel"/>
    <w:tmpl w:val="1D12B916"/>
    <w:lvl w:ilvl="0" w:tplc="646CEF4E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372282B"/>
    <w:multiLevelType w:val="hybridMultilevel"/>
    <w:tmpl w:val="65C2401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7803C5"/>
    <w:multiLevelType w:val="hybridMultilevel"/>
    <w:tmpl w:val="9B28E63E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CD728C8"/>
    <w:multiLevelType w:val="hybridMultilevel"/>
    <w:tmpl w:val="8F0428CC"/>
    <w:lvl w:ilvl="0" w:tplc="57DE5FEA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F541B00"/>
    <w:multiLevelType w:val="hybridMultilevel"/>
    <w:tmpl w:val="99480A4A"/>
    <w:lvl w:ilvl="0" w:tplc="91DA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49876">
    <w:abstractNumId w:val="15"/>
  </w:num>
  <w:num w:numId="2" w16cid:durableId="982613223">
    <w:abstractNumId w:val="18"/>
  </w:num>
  <w:num w:numId="3" w16cid:durableId="1302266095">
    <w:abstractNumId w:val="11"/>
  </w:num>
  <w:num w:numId="4" w16cid:durableId="1747409689">
    <w:abstractNumId w:val="29"/>
  </w:num>
  <w:num w:numId="5" w16cid:durableId="743261991">
    <w:abstractNumId w:val="9"/>
  </w:num>
  <w:num w:numId="6" w16cid:durableId="556401820">
    <w:abstractNumId w:val="12"/>
  </w:num>
  <w:num w:numId="7" w16cid:durableId="2056194369">
    <w:abstractNumId w:val="8"/>
  </w:num>
  <w:num w:numId="8" w16cid:durableId="1729330938">
    <w:abstractNumId w:val="2"/>
  </w:num>
  <w:num w:numId="9" w16cid:durableId="2084140254">
    <w:abstractNumId w:val="10"/>
  </w:num>
  <w:num w:numId="10" w16cid:durableId="1813447891">
    <w:abstractNumId w:val="3"/>
  </w:num>
  <w:num w:numId="11" w16cid:durableId="66465159">
    <w:abstractNumId w:val="7"/>
  </w:num>
  <w:num w:numId="12" w16cid:durableId="1254784020">
    <w:abstractNumId w:val="17"/>
  </w:num>
  <w:num w:numId="13" w16cid:durableId="878664815">
    <w:abstractNumId w:val="21"/>
  </w:num>
  <w:num w:numId="14" w16cid:durableId="1225918132">
    <w:abstractNumId w:val="13"/>
  </w:num>
  <w:num w:numId="15" w16cid:durableId="672612144">
    <w:abstractNumId w:val="5"/>
  </w:num>
  <w:num w:numId="16" w16cid:durableId="1329820742">
    <w:abstractNumId w:val="25"/>
  </w:num>
  <w:num w:numId="17" w16cid:durableId="629364816">
    <w:abstractNumId w:val="24"/>
  </w:num>
  <w:num w:numId="18" w16cid:durableId="331418006">
    <w:abstractNumId w:val="14"/>
  </w:num>
  <w:num w:numId="19" w16cid:durableId="831290132">
    <w:abstractNumId w:val="0"/>
  </w:num>
  <w:num w:numId="20" w16cid:durableId="1224104379">
    <w:abstractNumId w:val="16"/>
  </w:num>
  <w:num w:numId="21" w16cid:durableId="837693248">
    <w:abstractNumId w:val="1"/>
  </w:num>
  <w:num w:numId="22" w16cid:durableId="1498569851">
    <w:abstractNumId w:val="28"/>
  </w:num>
  <w:num w:numId="23" w16cid:durableId="1576358192">
    <w:abstractNumId w:val="23"/>
  </w:num>
  <w:num w:numId="24" w16cid:durableId="567308554">
    <w:abstractNumId w:val="26"/>
  </w:num>
  <w:num w:numId="25" w16cid:durableId="1314598859">
    <w:abstractNumId w:val="4"/>
  </w:num>
  <w:num w:numId="26" w16cid:durableId="202643231">
    <w:abstractNumId w:val="27"/>
  </w:num>
  <w:num w:numId="27" w16cid:durableId="1534803238">
    <w:abstractNumId w:val="6"/>
  </w:num>
  <w:num w:numId="28" w16cid:durableId="1559321574">
    <w:abstractNumId w:val="20"/>
  </w:num>
  <w:num w:numId="29" w16cid:durableId="71126544">
    <w:abstractNumId w:val="22"/>
  </w:num>
  <w:num w:numId="30" w16cid:durableId="19468868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E3D7E"/>
    <w:rsid w:val="000E5646"/>
    <w:rsid w:val="001002A2"/>
    <w:rsid w:val="00124DD7"/>
    <w:rsid w:val="0013025E"/>
    <w:rsid w:val="00190191"/>
    <w:rsid w:val="00195766"/>
    <w:rsid w:val="001A56FE"/>
    <w:rsid w:val="001B6CED"/>
    <w:rsid w:val="001D573A"/>
    <w:rsid w:val="002021CA"/>
    <w:rsid w:val="0020358B"/>
    <w:rsid w:val="0021298E"/>
    <w:rsid w:val="00247A25"/>
    <w:rsid w:val="0028775C"/>
    <w:rsid w:val="00291840"/>
    <w:rsid w:val="002E6F0D"/>
    <w:rsid w:val="00321B46"/>
    <w:rsid w:val="0034735E"/>
    <w:rsid w:val="003613FA"/>
    <w:rsid w:val="003635AE"/>
    <w:rsid w:val="00373720"/>
    <w:rsid w:val="003A319A"/>
    <w:rsid w:val="003A3E30"/>
    <w:rsid w:val="00402359"/>
    <w:rsid w:val="004050C4"/>
    <w:rsid w:val="00440F46"/>
    <w:rsid w:val="00447AFC"/>
    <w:rsid w:val="00447E78"/>
    <w:rsid w:val="00487706"/>
    <w:rsid w:val="00496D86"/>
    <w:rsid w:val="004B2735"/>
    <w:rsid w:val="005067B9"/>
    <w:rsid w:val="00550C07"/>
    <w:rsid w:val="00557CC2"/>
    <w:rsid w:val="0057196A"/>
    <w:rsid w:val="00575846"/>
    <w:rsid w:val="005C6920"/>
    <w:rsid w:val="005D4EF6"/>
    <w:rsid w:val="005E7A57"/>
    <w:rsid w:val="005F4F90"/>
    <w:rsid w:val="00631816"/>
    <w:rsid w:val="0064562B"/>
    <w:rsid w:val="0066581B"/>
    <w:rsid w:val="00666AF1"/>
    <w:rsid w:val="00675F1E"/>
    <w:rsid w:val="00677765"/>
    <w:rsid w:val="00695057"/>
    <w:rsid w:val="006C312D"/>
    <w:rsid w:val="006E7B0F"/>
    <w:rsid w:val="006F0058"/>
    <w:rsid w:val="00700ED0"/>
    <w:rsid w:val="00706036"/>
    <w:rsid w:val="007268FC"/>
    <w:rsid w:val="00741107"/>
    <w:rsid w:val="00744D72"/>
    <w:rsid w:val="00755D18"/>
    <w:rsid w:val="007733FA"/>
    <w:rsid w:val="00792299"/>
    <w:rsid w:val="007B52AD"/>
    <w:rsid w:val="007B7AF1"/>
    <w:rsid w:val="007C2BDB"/>
    <w:rsid w:val="007D1F45"/>
    <w:rsid w:val="0081280D"/>
    <w:rsid w:val="008266B8"/>
    <w:rsid w:val="008344F0"/>
    <w:rsid w:val="00834A51"/>
    <w:rsid w:val="00837A9D"/>
    <w:rsid w:val="00841570"/>
    <w:rsid w:val="008555BC"/>
    <w:rsid w:val="00856DD7"/>
    <w:rsid w:val="0087084B"/>
    <w:rsid w:val="00873B71"/>
    <w:rsid w:val="008C49BB"/>
    <w:rsid w:val="008C73E3"/>
    <w:rsid w:val="009015EF"/>
    <w:rsid w:val="00957220"/>
    <w:rsid w:val="00986094"/>
    <w:rsid w:val="009A54C0"/>
    <w:rsid w:val="009E7F3C"/>
    <w:rsid w:val="009F2432"/>
    <w:rsid w:val="00A914AD"/>
    <w:rsid w:val="00AC2747"/>
    <w:rsid w:val="00AD4089"/>
    <w:rsid w:val="00AD5569"/>
    <w:rsid w:val="00B02CC6"/>
    <w:rsid w:val="00B33387"/>
    <w:rsid w:val="00B367AD"/>
    <w:rsid w:val="00B717E8"/>
    <w:rsid w:val="00B72269"/>
    <w:rsid w:val="00BB7BF6"/>
    <w:rsid w:val="00BC6593"/>
    <w:rsid w:val="00C02317"/>
    <w:rsid w:val="00C067B8"/>
    <w:rsid w:val="00C11417"/>
    <w:rsid w:val="00C25495"/>
    <w:rsid w:val="00C323C7"/>
    <w:rsid w:val="00C51CA2"/>
    <w:rsid w:val="00C57B96"/>
    <w:rsid w:val="00C65A6C"/>
    <w:rsid w:val="00C75B44"/>
    <w:rsid w:val="00CB79CC"/>
    <w:rsid w:val="00CF5F01"/>
    <w:rsid w:val="00D97F71"/>
    <w:rsid w:val="00DB44B1"/>
    <w:rsid w:val="00DD2363"/>
    <w:rsid w:val="00E45FEF"/>
    <w:rsid w:val="00E50C2C"/>
    <w:rsid w:val="00E60E96"/>
    <w:rsid w:val="00EA5CCB"/>
    <w:rsid w:val="00EB5E30"/>
    <w:rsid w:val="00EE1CD5"/>
    <w:rsid w:val="00EF081D"/>
    <w:rsid w:val="00F06B32"/>
    <w:rsid w:val="00F440B3"/>
    <w:rsid w:val="00F7456F"/>
    <w:rsid w:val="00FD2048"/>
    <w:rsid w:val="00FD7448"/>
    <w:rsid w:val="040EED63"/>
    <w:rsid w:val="0614F152"/>
    <w:rsid w:val="0D07B8C3"/>
    <w:rsid w:val="16EA10DB"/>
    <w:rsid w:val="28702DF5"/>
    <w:rsid w:val="2B86F51F"/>
    <w:rsid w:val="3E2CAC3D"/>
    <w:rsid w:val="4FF2C453"/>
    <w:rsid w:val="60B6366B"/>
    <w:rsid w:val="7940720E"/>
    <w:rsid w:val="7FA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222"/>
  <w15:chartTrackingRefBased/>
  <w15:docId w15:val="{0DDA4DE2-E8B4-4EF5-B652-30A7D61F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9D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Colored Bullets,Bullets,Evidence on Demand bullet points,CEIL PEAKS bullet points,Scriptoria bullet points,Listenabsatz a),List Paragraph 1,List-Bulleted,BULLET Liste"/>
    <w:basedOn w:val="Normal"/>
    <w:link w:val="PrrafodelistaCar"/>
    <w:uiPriority w:val="34"/>
    <w:qFormat/>
    <w:rsid w:val="00837A9D"/>
    <w:pPr>
      <w:ind w:left="720"/>
      <w:contextualSpacing/>
    </w:pPr>
  </w:style>
  <w:style w:type="character" w:customStyle="1" w:styleId="PrrafodelistaCar">
    <w:name w:val="Párrafo de lista Car"/>
    <w:aliases w:val="Paragraph Car,Colored Bullets Car,Bullets Car,Evidence on Demand bullet points Car,CEIL PEAKS bullet points Car,Scriptoria bullet points Car,Listenabsatz a) Car,List Paragraph 1 Car,List-Bulleted Car,BULLET Liste Car"/>
    <w:link w:val="Prrafodelista"/>
    <w:uiPriority w:val="34"/>
    <w:rsid w:val="00837A9D"/>
  </w:style>
  <w:style w:type="table" w:styleId="Tablaconcuadrcula">
    <w:name w:val="Table Grid"/>
    <w:basedOn w:val="Tablanormal"/>
    <w:uiPriority w:val="39"/>
    <w:rsid w:val="00837A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5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6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6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6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6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44B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9A54C0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4C0"/>
    <w:rPr>
      <w:rFonts w:eastAsiaTheme="minorEastAsia"/>
      <w:lang w:eastAsia="es-BO"/>
    </w:rPr>
  </w:style>
  <w:style w:type="character" w:customStyle="1" w:styleId="normaltextrun">
    <w:name w:val="normaltextrun"/>
    <w:basedOn w:val="Fuentedeprrafopredeter"/>
    <w:rsid w:val="003635AE"/>
  </w:style>
  <w:style w:type="character" w:customStyle="1" w:styleId="Ttulo3Car">
    <w:name w:val="Título 3 Car"/>
    <w:basedOn w:val="Fuentedeprrafopredeter"/>
    <w:link w:val="Ttulo3"/>
    <w:uiPriority w:val="9"/>
    <w:rsid w:val="009E7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C2C"/>
  </w:style>
  <w:style w:type="paragraph" w:styleId="Piedepgina">
    <w:name w:val="footer"/>
    <w:basedOn w:val="Normal"/>
    <w:link w:val="Piedepgina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C2C"/>
  </w:style>
  <w:style w:type="paragraph" w:styleId="Textodeglobo">
    <w:name w:val="Balloon Text"/>
    <w:basedOn w:val="Normal"/>
    <w:link w:val="TextodegloboCar"/>
    <w:uiPriority w:val="99"/>
    <w:semiHidden/>
    <w:unhideWhenUsed/>
    <w:rsid w:val="005C69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2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86bac-5231-4927-ab49-67116574a62e">
      <Terms xmlns="http://schemas.microsoft.com/office/infopath/2007/PartnerControls"/>
    </lcf76f155ced4ddcb4097134ff3c332f>
    <TaxCatchAll xmlns="2f5f6eb6-ef45-4cc7-acd1-315704ade2e7" xsi:nil="true"/>
    <SharedWithUsers xmlns="2e93361f-4daf-4b00-bf58-60bcc060633d">
      <UserInfo>
        <DisplayName>Sandra Escalera</DisplayName>
        <AccountId>18</AccountId>
        <AccountType/>
      </UserInfo>
      <UserInfo>
        <DisplayName>Franz Miralles</DisplayName>
        <AccountId>15</AccountId>
        <AccountType/>
      </UserInfo>
      <UserInfo>
        <DisplayName>Sandra Nisttahusz</DisplayName>
        <AccountId>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78BA218D82C498D4D8F351A4131EF" ma:contentTypeVersion="17" ma:contentTypeDescription="Create a new document." ma:contentTypeScope="" ma:versionID="3641b100945c5db2b92a2ef3fc0d60b2">
  <xsd:schema xmlns:xsd="http://www.w3.org/2001/XMLSchema" xmlns:xs="http://www.w3.org/2001/XMLSchema" xmlns:p="http://schemas.microsoft.com/office/2006/metadata/properties" xmlns:ns2="07586bac-5231-4927-ab49-67116574a62e" xmlns:ns3="2e93361f-4daf-4b00-bf58-60bcc060633d" xmlns:ns4="2f5f6eb6-ef45-4cc7-acd1-315704ade2e7" targetNamespace="http://schemas.microsoft.com/office/2006/metadata/properties" ma:root="true" ma:fieldsID="2b9f13f522c301c7714e3a85e8c1ee79" ns2:_="" ns3:_="" ns4:_="">
    <xsd:import namespace="07586bac-5231-4927-ab49-67116574a62e"/>
    <xsd:import namespace="2e93361f-4daf-4b00-bf58-60bcc060633d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6bac-5231-4927-ab49-67116574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361f-4daf-4b00-bf58-60bcc060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cdd4f7-c1bc-4eb0-9830-fc9c506c3cbb}" ma:internalName="TaxCatchAll" ma:showField="CatchAllData" ma:web="2e93361f-4daf-4b00-bf58-60bcc060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B3DBB-34BA-4F84-9031-578AFB27A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BB7D8-59F2-4BF0-AB25-26A95620C6C8}">
  <ds:schemaRefs>
    <ds:schemaRef ds:uri="http://schemas.microsoft.com/office/2006/metadata/properties"/>
    <ds:schemaRef ds:uri="http://schemas.microsoft.com/office/infopath/2007/PartnerControls"/>
    <ds:schemaRef ds:uri="07586bac-5231-4927-ab49-67116574a62e"/>
    <ds:schemaRef ds:uri="2f5f6eb6-ef45-4cc7-acd1-315704ade2e7"/>
    <ds:schemaRef ds:uri="2e93361f-4daf-4b00-bf58-60bcc060633d"/>
  </ds:schemaRefs>
</ds:datastoreItem>
</file>

<file path=customXml/itemProps3.xml><?xml version="1.0" encoding="utf-8"?>
<ds:datastoreItem xmlns:ds="http://schemas.openxmlformats.org/officeDocument/2006/customXml" ds:itemID="{5481C775-8F01-44F9-AF03-8C286C287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DE5931-8AC4-4A00-8F7E-16FFE8CF5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1237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Saravia</dc:creator>
  <cp:keywords/>
  <dc:description/>
  <cp:lastModifiedBy>Sandra Escalera</cp:lastModifiedBy>
  <cp:revision>4</cp:revision>
  <cp:lastPrinted>2023-08-03T22:44:00Z</cp:lastPrinted>
  <dcterms:created xsi:type="dcterms:W3CDTF">2023-08-11T20:54:00Z</dcterms:created>
  <dcterms:modified xsi:type="dcterms:W3CDTF">2023-08-12T09:07:00Z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0x0101005FF78BA218D82C498D4D8F351A4131EF</vt:lpwstr>
  </property>
  <property fmtid="{D5CDD505-2E9C-101B-9397-08002B2CF9AE}" pid="3" name="MediaServiceImageTags">
    <vt:lpwstr/>
  </property>
</Properties>
</file>